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99" w:rsidRPr="00454A79" w:rsidRDefault="00A50899" w:rsidP="00A50899">
      <w:pPr>
        <w:pStyle w:val="chuong2"/>
        <w:rPr>
          <w:color w:val="0070C0"/>
          <w:sz w:val="26"/>
          <w:szCs w:val="26"/>
          <w:lang w:val="it-IT"/>
        </w:rPr>
      </w:pPr>
      <w:r w:rsidRPr="00454A79">
        <w:rPr>
          <w:color w:val="0070C0"/>
          <w:lang w:val="it-IT"/>
        </w:rPr>
        <w:t>TIỀM LỰC KHOA HỌC VÀ CÔNG NGHỆ</w:t>
      </w:r>
      <w:r>
        <w:rPr>
          <w:color w:val="0070C0"/>
          <w:lang w:val="it-IT"/>
        </w:rPr>
        <w:t xml:space="preserve"> </w:t>
      </w:r>
      <w:r w:rsidR="003A2420">
        <w:rPr>
          <w:color w:val="0070C0"/>
          <w:lang w:val="it-IT"/>
        </w:rPr>
        <w:t>NĂM 2014</w:t>
      </w:r>
    </w:p>
    <w:p w:rsidR="00A50899" w:rsidRPr="002F6A34" w:rsidRDefault="00A50899" w:rsidP="00A50899">
      <w:pPr>
        <w:pStyle w:val="11khcnvn"/>
        <w:spacing w:before="440"/>
      </w:pPr>
      <w:bookmarkStart w:id="0" w:name="_Toc415057120"/>
      <w:bookmarkStart w:id="1" w:name="_Toc451518359"/>
      <w:r w:rsidRPr="00320ECA">
        <w:rPr>
          <w:rFonts w:ascii="Times New Roman" w:hAnsi="Times New Roman"/>
          <w:lang w:val="en-US"/>
        </w:rPr>
        <w:t>1</w:t>
      </w:r>
      <w:r w:rsidRPr="00320ECA">
        <w:rPr>
          <w:rFonts w:ascii="Times New Roman" w:hAnsi="Times New Roman"/>
        </w:rPr>
        <w:t>.</w:t>
      </w:r>
      <w:r w:rsidRPr="002F6A34">
        <w:t xml:space="preserve">1. </w:t>
      </w:r>
      <w:r w:rsidRPr="004F033E">
        <w:t>Tổ chức khoa học và công nghệ</w:t>
      </w:r>
      <w:bookmarkEnd w:id="0"/>
      <w:bookmarkEnd w:id="1"/>
    </w:p>
    <w:p w:rsidR="00A50899" w:rsidRPr="00454A79" w:rsidRDefault="00A50899" w:rsidP="00A50899">
      <w:pPr>
        <w:pStyle w:val="bodyA0"/>
        <w:spacing w:line="262" w:lineRule="auto"/>
        <w:rPr>
          <w:lang w:val="vi-VN"/>
        </w:rPr>
      </w:pPr>
      <w:bookmarkStart w:id="2" w:name="_Toc415057119"/>
      <w:r w:rsidRPr="00454A79">
        <w:rPr>
          <w:lang w:val="vi-VN"/>
        </w:rPr>
        <w:t xml:space="preserve">Tổ chức KH&amp;CN là những tổ chức có chức năng chủ yếu là nghiên cứu khoa học, nghiên cứu triển khai và phát triển công nghệ, hoạt động dịch vụ KH&amp;CN, được thành lập và đăng ký hoạt động theo quy định của pháp luật. Những tổ chức này đóng vai trò chủ yếu trong hoạt động KH&amp;CN. Theo Luật Khoa học và công nghệ năm 2013, các loại hình tổ chức KH&amp;CN bao gồm: 1) các </w:t>
      </w:r>
      <w:r w:rsidRPr="00454A79">
        <w:rPr>
          <w:i/>
          <w:lang w:val="vi-VN"/>
        </w:rPr>
        <w:t>tổ chức nghiên cứu khoa học và phát triển công nghệ (NC&amp;PT)</w:t>
      </w:r>
      <w:r w:rsidRPr="00454A79">
        <w:rPr>
          <w:lang w:val="vi-VN"/>
        </w:rPr>
        <w:t xml:space="preserve"> được tổ chức </w:t>
      </w:r>
      <w:bookmarkStart w:id="3" w:name="_GoBack"/>
      <w:bookmarkEnd w:id="3"/>
      <w:r w:rsidRPr="00454A79">
        <w:rPr>
          <w:lang w:val="vi-VN"/>
        </w:rPr>
        <w:t xml:space="preserve">dưới hình thức viện hàn lâm, viện, trung tâm, phòng thí nghiệm, trạm nghiên cứu, trạm quan trắc, trạm thử nghiệm; 2) các </w:t>
      </w:r>
      <w:r w:rsidRPr="00454A79">
        <w:rPr>
          <w:i/>
          <w:lang w:val="vi-VN"/>
        </w:rPr>
        <w:t>cơ sở giáo dục đại học</w:t>
      </w:r>
      <w:r w:rsidRPr="00454A79">
        <w:rPr>
          <w:lang w:val="vi-VN"/>
        </w:rPr>
        <w:t xml:space="preserve">; và 3) các </w:t>
      </w:r>
      <w:r w:rsidRPr="00454A79">
        <w:rPr>
          <w:i/>
          <w:lang w:val="vi-VN"/>
        </w:rPr>
        <w:t>tổ chức dịch vụ KH&amp;CN</w:t>
      </w:r>
      <w:r w:rsidRPr="00454A79">
        <w:rPr>
          <w:lang w:val="vi-VN"/>
        </w:rPr>
        <w:t xml:space="preserve"> được tổ chức dưới hình thức trung tâm, văn phòng, phòng thử nghiệm và hình thức khác.</w:t>
      </w:r>
    </w:p>
    <w:p w:rsidR="00A50899" w:rsidRPr="00454A79" w:rsidRDefault="00A50899" w:rsidP="00A50899">
      <w:pPr>
        <w:pStyle w:val="bodyA0"/>
        <w:spacing w:before="100" w:line="262" w:lineRule="auto"/>
        <w:rPr>
          <w:bCs/>
          <w:spacing w:val="-2"/>
          <w:szCs w:val="28"/>
          <w:lang w:val="vi-VN"/>
        </w:rPr>
      </w:pPr>
      <w:r w:rsidRPr="00454A79">
        <w:rPr>
          <w:noProof/>
          <w:spacing w:val="-2"/>
          <w:lang w:val="vi-VN"/>
        </w:rPr>
        <w:t xml:space="preserve">Các hoạt động đổi mới và tăng cường năng lực cho hệ thống tổ chức KH&amp;CN được quan tâm triển khai. </w:t>
      </w:r>
      <w:r>
        <w:rPr>
          <w:noProof/>
          <w:spacing w:val="-2"/>
          <w:lang w:val="vi-VN"/>
        </w:rPr>
        <w:t>Đề án X</w:t>
      </w:r>
      <w:r w:rsidRPr="0099640F">
        <w:rPr>
          <w:noProof/>
          <w:spacing w:val="-2"/>
          <w:lang w:val="vi-VN"/>
        </w:rPr>
        <w:t>ây dựng quy hoạch mạng lưới tổ chức KH&amp;CN đến năm 2020 và tầm nhìn đến năm 2030</w:t>
      </w:r>
      <w:r w:rsidRPr="00454A79">
        <w:rPr>
          <w:noProof/>
          <w:spacing w:val="-2"/>
          <w:lang w:val="vi-VN"/>
        </w:rPr>
        <w:t xml:space="preserve"> </w:t>
      </w:r>
      <w:r w:rsidRPr="00454A79">
        <w:rPr>
          <w:bCs/>
          <w:spacing w:val="-2"/>
          <w:szCs w:val="28"/>
          <w:lang w:val="vi-VN"/>
        </w:rPr>
        <w:t xml:space="preserve">đã được phê duyệt và </w:t>
      </w:r>
      <w:r w:rsidRPr="00454A79">
        <w:rPr>
          <w:noProof/>
          <w:spacing w:val="-2"/>
          <w:lang w:val="vi-VN"/>
        </w:rPr>
        <w:t>t</w:t>
      </w:r>
      <w:r w:rsidRPr="0099640F">
        <w:rPr>
          <w:noProof/>
          <w:spacing w:val="-2"/>
          <w:lang w:val="vi-VN"/>
        </w:rPr>
        <w:t xml:space="preserve">riển khai </w:t>
      </w:r>
      <w:r w:rsidRPr="00454A79">
        <w:rPr>
          <w:noProof/>
          <w:spacing w:val="-2"/>
          <w:lang w:val="vi-VN"/>
        </w:rPr>
        <w:t xml:space="preserve">thực hiện nhằm giảm bớt sự cồng kềnh về số lượng, sự manh mún, phức tạp về quy mô, cơ cấu tổ chức, và sự trùng lặp về lĩnh vực hoạt động của các tổ chức KH&amp;CN công lập, từ đó nâng cao hiệu quả đầu tư cho các tổ chức KH&amp;CN công lập. </w:t>
      </w:r>
      <w:r w:rsidRPr="00454A79">
        <w:rPr>
          <w:bCs/>
          <w:spacing w:val="-2"/>
          <w:szCs w:val="28"/>
          <w:lang w:val="vi-VN"/>
        </w:rPr>
        <w:t xml:space="preserve">Các quy định về đánh giá tổ chức KH&amp;CN công lập nhằm xác định năng lực và hiệu quả hoạt động của tổ chức KH&amp;CN được ban hành, </w:t>
      </w:r>
      <w:r w:rsidRPr="00454A79">
        <w:rPr>
          <w:noProof/>
          <w:spacing w:val="-2"/>
          <w:lang w:val="vi-VN"/>
        </w:rPr>
        <w:t xml:space="preserve">là cơ sở để </w:t>
      </w:r>
      <w:r w:rsidRPr="00454A79">
        <w:rPr>
          <w:bCs/>
          <w:spacing w:val="-2"/>
          <w:szCs w:val="28"/>
          <w:lang w:val="vi-VN"/>
        </w:rPr>
        <w:t xml:space="preserve">tập trung </w:t>
      </w:r>
      <w:r w:rsidRPr="00454A79">
        <w:rPr>
          <w:noProof/>
          <w:spacing w:val="-2"/>
          <w:lang w:val="vi-VN"/>
        </w:rPr>
        <w:t xml:space="preserve">phát triển các tổ chức KH&amp;CN mạnh </w:t>
      </w:r>
      <w:r w:rsidRPr="00454A79">
        <w:rPr>
          <w:bCs/>
          <w:spacing w:val="-2"/>
          <w:szCs w:val="28"/>
          <w:lang w:val="vi-VN"/>
        </w:rPr>
        <w:t xml:space="preserve">thông qua thực hiện ưu tiên đầu tư </w:t>
      </w:r>
      <w:r w:rsidRPr="00454A79">
        <w:rPr>
          <w:noProof/>
          <w:spacing w:val="-2"/>
          <w:lang w:val="vi-VN"/>
        </w:rPr>
        <w:t xml:space="preserve">từ NSNN, </w:t>
      </w:r>
      <w:r w:rsidRPr="00454A79">
        <w:rPr>
          <w:bCs/>
          <w:spacing w:val="-2"/>
          <w:szCs w:val="28"/>
          <w:lang w:val="vi-VN"/>
        </w:rPr>
        <w:t>xem xét tuyển chọn, giao trực tiếp chủ trì thực hiện nhiệm vụ KH&amp;CN, ưu tiên cho vay, tài trợ, bảo lãnh vốn vay từ các quỹ trong lĩnh vực KH&amp;CN. Các Bộ, ngành đã bước đầu xây dựng các nhóm nghiên cứu mạnh và phát triển các nhóm nghiên cứu trẻ tiềm năng để tập trung đầu tư. Ngoài ra, một số tổ chức KH&amp;CN theo mô hình tiên tiến của thế giới như Viện Khoa học và Công nghệ Việt Nam - Hàn Quốc (V-KIST), Trường Đại học Việt - Đức, Trường Đại học Việt - Pháp, Trường Đại học Việt - Nhật đang được tích cực triển khai để nâng cao tiềm lực KH&amp;CN, năng lực đào tạo nguồn nhân lực chất lượng cao, làm động lực thúc đẩy tốc độ và chất lượng tăng trưởng của nền kinh tế.</w:t>
      </w:r>
    </w:p>
    <w:p w:rsidR="00A50899" w:rsidRPr="00454A79" w:rsidRDefault="00A50899" w:rsidP="00A50899">
      <w:pPr>
        <w:pStyle w:val="bodyA0"/>
        <w:spacing w:before="100" w:line="259" w:lineRule="auto"/>
        <w:rPr>
          <w:lang w:val="vi-VN"/>
        </w:rPr>
      </w:pPr>
      <w:r w:rsidRPr="00454A79">
        <w:rPr>
          <w:lang w:val="vi-VN"/>
        </w:rPr>
        <w:t xml:space="preserve">Theo điều tra thống kê Tiềm lực của các tổ chức KH&amp;CN (thuộc Chương trình điều tra thống kê quốc gia) do Bộ Khoa học và Công nghệ tiến hành năm 2014 đối với 1.055 tổ chức KH&amp;CN, nhóm tổ chức NC&amp;PT chiếm 47,9%, tiếp theo là nhóm các cơ sở giáo dục đại học 32,0% và cuối cùng là các tổ chức dịch vụ KH&amp;CN chiếm 20,1% </w:t>
      </w:r>
      <w:r w:rsidR="00894554">
        <w:rPr>
          <w:lang w:val="vi-VN"/>
        </w:rPr>
        <w:t xml:space="preserve">       </w:t>
      </w:r>
      <w:r w:rsidRPr="00454A79">
        <w:rPr>
          <w:lang w:val="vi-VN"/>
        </w:rPr>
        <w:t xml:space="preserve">(Hình </w:t>
      </w:r>
      <w:r>
        <w:rPr>
          <w:lang w:val="en-US"/>
        </w:rPr>
        <w:t>1</w:t>
      </w:r>
      <w:r w:rsidRPr="00454A79">
        <w:rPr>
          <w:lang w:val="vi-VN"/>
        </w:rPr>
        <w:t>.1).</w:t>
      </w:r>
    </w:p>
    <w:p w:rsidR="00A50899" w:rsidRPr="00B00FDC" w:rsidRDefault="00A50899" w:rsidP="00A50899">
      <w:pPr>
        <w:pStyle w:val="khcnvn"/>
        <w:ind w:firstLine="0"/>
        <w:jc w:val="center"/>
      </w:pPr>
      <w:r w:rsidRPr="00B00FDC">
        <w:rPr>
          <w:noProof/>
          <w:lang w:val="en-US" w:eastAsia="en-US"/>
        </w:rPr>
        <w:drawing>
          <wp:inline distT="0" distB="0" distL="0" distR="0" wp14:anchorId="138C43E0" wp14:editId="07149D81">
            <wp:extent cx="3189605" cy="183959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9605" cy="1839595"/>
                    </a:xfrm>
                    <a:prstGeom prst="rect">
                      <a:avLst/>
                    </a:prstGeom>
                    <a:noFill/>
                    <a:ln>
                      <a:noFill/>
                    </a:ln>
                  </pic:spPr>
                </pic:pic>
              </a:graphicData>
            </a:graphic>
          </wp:inline>
        </w:drawing>
      </w:r>
    </w:p>
    <w:p w:rsidR="00A50899" w:rsidRDefault="00A50899" w:rsidP="00A50899">
      <w:pPr>
        <w:pStyle w:val="khcnvntenhinh"/>
      </w:pPr>
      <w:bookmarkStart w:id="4" w:name="_Toc453341465"/>
      <w:r w:rsidRPr="00590B6E">
        <w:rPr>
          <w:b/>
          <w:i/>
        </w:rPr>
        <w:t xml:space="preserve">Hình </w:t>
      </w:r>
      <w:r>
        <w:rPr>
          <w:b/>
          <w:i/>
        </w:rPr>
        <w:t>1</w:t>
      </w:r>
      <w:r w:rsidRPr="00590B6E">
        <w:rPr>
          <w:b/>
          <w:i/>
        </w:rPr>
        <w:t>.1.</w:t>
      </w:r>
      <w:r>
        <w:t xml:space="preserve"> Tỷ lệ các tổ chức NC&amp;PT, cơ sở giáo dục đại học và tổ chức dịch vụ KH&amp;CN</w:t>
      </w:r>
      <w:bookmarkEnd w:id="4"/>
    </w:p>
    <w:p w:rsidR="00320ECA" w:rsidRDefault="00A50899" w:rsidP="00A50899">
      <w:pPr>
        <w:pStyle w:val="nguon"/>
        <w:rPr>
          <w:lang w:val="en-US"/>
        </w:rPr>
      </w:pPr>
      <w:r w:rsidRPr="00F74739">
        <w:lastRenderedPageBreak/>
        <w:t>Nguồn:</w:t>
      </w:r>
      <w:r>
        <w:t xml:space="preserve"> Điều tra tiềm lực của các tổ chức khoa học và công nghệ, điều tra </w:t>
      </w:r>
    </w:p>
    <w:p w:rsidR="00A50899" w:rsidRDefault="00A50899" w:rsidP="00A50899">
      <w:pPr>
        <w:pStyle w:val="nguon"/>
      </w:pPr>
      <w:r>
        <w:t>năm 2014, Cục Thông tin khoa học và công nghệ Quốc gia.</w:t>
      </w:r>
    </w:p>
    <w:p w:rsidR="00A50899" w:rsidRPr="00454A79" w:rsidRDefault="00A50899" w:rsidP="00A50899">
      <w:pPr>
        <w:pStyle w:val="111khcnvn"/>
        <w:spacing w:before="240"/>
        <w:rPr>
          <w:rFonts w:ascii="Calibri" w:hAnsi="Calibri"/>
          <w:lang w:val="vi-VN"/>
        </w:rPr>
      </w:pPr>
      <w:bookmarkStart w:id="5" w:name="_Toc451518360"/>
      <w:r w:rsidRPr="00320ECA">
        <w:rPr>
          <w:rFonts w:ascii="Times New Roman" w:hAnsi="Times New Roman"/>
        </w:rPr>
        <w:t>1</w:t>
      </w:r>
      <w:r w:rsidRPr="00320ECA">
        <w:rPr>
          <w:rFonts w:ascii="Times New Roman" w:hAnsi="Times New Roman"/>
          <w:lang w:val="vi-VN"/>
        </w:rPr>
        <w:t>.1.1.</w:t>
      </w:r>
      <w:r w:rsidRPr="00454A79">
        <w:rPr>
          <w:lang w:val="vi-VN"/>
        </w:rPr>
        <w:t xml:space="preserve"> Tổ chức nghiên cứu khoa học và phát triển công nghệ</w:t>
      </w:r>
      <w:bookmarkEnd w:id="5"/>
    </w:p>
    <w:p w:rsidR="00320ECA" w:rsidRDefault="00A50899" w:rsidP="00A50899">
      <w:pPr>
        <w:pStyle w:val="bodyA0"/>
        <w:spacing w:before="60" w:line="262" w:lineRule="auto"/>
      </w:pPr>
      <w:r>
        <w:t>Các t</w:t>
      </w:r>
      <w:r w:rsidRPr="00704B56">
        <w:t xml:space="preserve">ổ chức </w:t>
      </w:r>
      <w:r>
        <w:t xml:space="preserve">NC&amp;PT </w:t>
      </w:r>
      <w:r w:rsidRPr="00874A77">
        <w:t>được tổ chức dưới hình thức viện hàn lâm, viện, trung tâm, phòng thí nghiệm, trạm nghiên cứu, trạm quan trắc, trạm thử nghiệm</w:t>
      </w:r>
      <w:r>
        <w:t xml:space="preserve"> với chức năng chính là tiến hành hoạt động nghiên cứu khoa học và phát triển công nghệ. Các tổ chức NC&amp;PT tập trung nhiều ở </w:t>
      </w:r>
    </w:p>
    <w:p w:rsidR="00A50899" w:rsidRDefault="00A50899" w:rsidP="00A50899">
      <w:pPr>
        <w:pStyle w:val="bodyA0"/>
        <w:spacing w:before="60" w:line="262" w:lineRule="auto"/>
      </w:pPr>
      <w:r>
        <w:t>Bộ Nông nghiệp và Phát triển nông thôn (65 đơn vị), tiếp theo là Viện Hàn lâm Khoa học và Công nghệ Việt Nam (34 đơn vị) và Viện Hàn lâm Khoa học xã hội Việt Nam (35 đơn vị), Bộ Y tế với 25 đơn vị.</w:t>
      </w:r>
    </w:p>
    <w:p w:rsidR="00A50899" w:rsidRDefault="00A50899" w:rsidP="00320ECA">
      <w:pPr>
        <w:pStyle w:val="bodyA0"/>
      </w:pPr>
      <w:r w:rsidRPr="005B437F">
        <w:t xml:space="preserve">Theo lĩnh vực hoạt động KH&amp;CN, hơn một phần ba (35%) số tổ chức NC&amp;PT hoạt động trong lĩnh vực khoa học kỹ thuật và công nghệ, đây là lĩnh vực bao gồm rất nhiều ngành khác nhau; số tổ chức thuộc lĩnh vực KHXH&amp;NV chiếm khoảng 27%, lĩnh vực khoa học nông nghiệp có 20,6%, trong khi đó số tổ chức thuộc lĩnh vực y dược chỉ có 5,4% (Bảng </w:t>
      </w:r>
      <w:r>
        <w:rPr>
          <w:lang w:val="en-US"/>
        </w:rPr>
        <w:t>1.1</w:t>
      </w:r>
      <w:r w:rsidRPr="005B437F">
        <w:t xml:space="preserve">, Hình </w:t>
      </w:r>
      <w:r>
        <w:rPr>
          <w:lang w:val="en-US"/>
        </w:rPr>
        <w:t>1.2</w:t>
      </w:r>
      <w:r w:rsidRPr="005B437F">
        <w:t>).</w:t>
      </w:r>
      <w:bookmarkStart w:id="6" w:name="_Toc453342458"/>
    </w:p>
    <w:p w:rsidR="00A50899" w:rsidRPr="005B437F" w:rsidRDefault="00A50899" w:rsidP="00A50899">
      <w:pPr>
        <w:pStyle w:val="khcnvnTenBang"/>
        <w:spacing w:before="160" w:after="100"/>
        <w:rPr>
          <w:b/>
          <w:i/>
        </w:rPr>
      </w:pPr>
      <w:r w:rsidRPr="005C01FF">
        <w:rPr>
          <w:b/>
          <w:i/>
        </w:rPr>
        <w:t xml:space="preserve">Bảng </w:t>
      </w:r>
      <w:r>
        <w:rPr>
          <w:b/>
          <w:i/>
        </w:rPr>
        <w:t>1.1</w:t>
      </w:r>
      <w:r w:rsidRPr="005C01FF">
        <w:rPr>
          <w:b/>
          <w:i/>
        </w:rPr>
        <w:t>.</w:t>
      </w:r>
      <w:r>
        <w:rPr>
          <w:b/>
          <w:i/>
        </w:rPr>
        <w:t xml:space="preserve"> </w:t>
      </w:r>
      <w:r w:rsidRPr="005B437F">
        <w:t>Tổ chức nghiên cứu và phát triển theo lĩnh vực KH&amp;CN</w:t>
      </w:r>
      <w:bookmarkEnd w:id="6"/>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CCFF"/>
        <w:tblLook w:val="04A0" w:firstRow="1" w:lastRow="0" w:firstColumn="1" w:lastColumn="0" w:noHBand="0" w:noVBand="1"/>
      </w:tblPr>
      <w:tblGrid>
        <w:gridCol w:w="4676"/>
        <w:gridCol w:w="2127"/>
        <w:gridCol w:w="2255"/>
      </w:tblGrid>
      <w:tr w:rsidR="00A50899" w:rsidRPr="00653742" w:rsidTr="00A324B6">
        <w:trPr>
          <w:trHeight w:val="280"/>
          <w:jc w:val="center"/>
        </w:trPr>
        <w:tc>
          <w:tcPr>
            <w:tcW w:w="2581" w:type="pct"/>
            <w:tcBorders>
              <w:bottom w:val="single" w:sz="4" w:space="0" w:color="auto"/>
            </w:tcBorders>
            <w:shd w:val="clear" w:color="auto" w:fill="66CCFF"/>
            <w:noWrap/>
            <w:vAlign w:val="center"/>
          </w:tcPr>
          <w:p w:rsidR="00A50899" w:rsidRPr="00691906" w:rsidRDefault="00A50899" w:rsidP="00A324B6">
            <w:pPr>
              <w:pStyle w:val="Bang2"/>
              <w:spacing w:before="40" w:after="40"/>
              <w:jc w:val="center"/>
              <w:rPr>
                <w:b/>
              </w:rPr>
            </w:pPr>
            <w:r w:rsidRPr="00691906">
              <w:rPr>
                <w:b/>
              </w:rPr>
              <w:t>Lĩnh vực</w:t>
            </w:r>
          </w:p>
        </w:tc>
        <w:tc>
          <w:tcPr>
            <w:tcW w:w="1174" w:type="pct"/>
            <w:tcBorders>
              <w:bottom w:val="single" w:sz="4" w:space="0" w:color="auto"/>
            </w:tcBorders>
            <w:shd w:val="clear" w:color="auto" w:fill="66CCFF"/>
            <w:noWrap/>
            <w:vAlign w:val="bottom"/>
          </w:tcPr>
          <w:p w:rsidR="00A50899" w:rsidRPr="00691906" w:rsidRDefault="00A50899" w:rsidP="00A324B6">
            <w:pPr>
              <w:pStyle w:val="Bang2"/>
              <w:spacing w:before="40" w:after="40"/>
              <w:jc w:val="center"/>
              <w:rPr>
                <w:b/>
              </w:rPr>
            </w:pPr>
            <w:r w:rsidRPr="00691906">
              <w:rPr>
                <w:b/>
              </w:rPr>
              <w:t>Số lượng</w:t>
            </w:r>
          </w:p>
        </w:tc>
        <w:tc>
          <w:tcPr>
            <w:tcW w:w="1245" w:type="pct"/>
            <w:tcBorders>
              <w:bottom w:val="single" w:sz="4" w:space="0" w:color="auto"/>
            </w:tcBorders>
            <w:shd w:val="clear" w:color="auto" w:fill="66CCFF"/>
            <w:noWrap/>
            <w:vAlign w:val="bottom"/>
          </w:tcPr>
          <w:p w:rsidR="00A50899" w:rsidRPr="00691906" w:rsidRDefault="00A50899" w:rsidP="00A324B6">
            <w:pPr>
              <w:pStyle w:val="Bang2"/>
              <w:spacing w:before="40" w:after="40"/>
              <w:jc w:val="center"/>
              <w:rPr>
                <w:b/>
              </w:rPr>
            </w:pPr>
            <w:r w:rsidRPr="00691906">
              <w:rPr>
                <w:b/>
              </w:rPr>
              <w:t>T</w:t>
            </w:r>
            <w:r>
              <w:rPr>
                <w:b/>
              </w:rPr>
              <w:t>ỷ</w:t>
            </w:r>
            <w:r w:rsidRPr="00691906">
              <w:rPr>
                <w:b/>
              </w:rPr>
              <w:t xml:space="preserve"> lệ %</w:t>
            </w:r>
          </w:p>
        </w:tc>
      </w:tr>
      <w:tr w:rsidR="00A50899" w:rsidRPr="00653742" w:rsidTr="00A324B6">
        <w:trPr>
          <w:trHeight w:val="280"/>
          <w:jc w:val="center"/>
        </w:trPr>
        <w:tc>
          <w:tcPr>
            <w:tcW w:w="2581" w:type="pct"/>
            <w:shd w:val="clear" w:color="auto" w:fill="FFFFFF"/>
            <w:vAlign w:val="center"/>
          </w:tcPr>
          <w:p w:rsidR="00A50899" w:rsidRPr="002B5B78" w:rsidRDefault="00A50899" w:rsidP="00A324B6">
            <w:pPr>
              <w:pStyle w:val="Bang2"/>
              <w:spacing w:before="40" w:after="40"/>
            </w:pPr>
            <w:r>
              <w:t xml:space="preserve">1. </w:t>
            </w:r>
            <w:r w:rsidRPr="002B5B78">
              <w:t>Khoa học tự nhiên</w:t>
            </w:r>
          </w:p>
        </w:tc>
        <w:tc>
          <w:tcPr>
            <w:tcW w:w="1174" w:type="pct"/>
            <w:shd w:val="clear" w:color="auto" w:fill="FFFFFF"/>
            <w:vAlign w:val="bottom"/>
          </w:tcPr>
          <w:p w:rsidR="00A50899" w:rsidRPr="00653742" w:rsidRDefault="00A50899" w:rsidP="00A324B6">
            <w:pPr>
              <w:pStyle w:val="Bang2"/>
              <w:spacing w:before="40" w:after="40"/>
              <w:ind w:right="567"/>
              <w:jc w:val="right"/>
            </w:pPr>
            <w:r w:rsidRPr="00653742">
              <w:t>60</w:t>
            </w:r>
          </w:p>
        </w:tc>
        <w:tc>
          <w:tcPr>
            <w:tcW w:w="1245" w:type="pct"/>
            <w:shd w:val="clear" w:color="auto" w:fill="FFFFFF"/>
            <w:noWrap/>
            <w:vAlign w:val="center"/>
          </w:tcPr>
          <w:p w:rsidR="00A50899" w:rsidRDefault="00A50899" w:rsidP="00A324B6">
            <w:pPr>
              <w:spacing w:before="40" w:after="40"/>
              <w:ind w:right="567"/>
              <w:jc w:val="right"/>
              <w:rPr>
                <w:rFonts w:ascii="Arial" w:hAnsi="Arial" w:cs="Arial"/>
                <w:color w:val="000000"/>
                <w:sz w:val="20"/>
                <w:szCs w:val="20"/>
              </w:rPr>
            </w:pPr>
            <w:r>
              <w:rPr>
                <w:rFonts w:ascii="Arial" w:hAnsi="Arial" w:cs="Arial"/>
                <w:color w:val="000000"/>
                <w:sz w:val="20"/>
                <w:szCs w:val="20"/>
              </w:rPr>
              <w:t>11,9</w:t>
            </w:r>
          </w:p>
        </w:tc>
      </w:tr>
      <w:tr w:rsidR="00A50899" w:rsidRPr="00653742" w:rsidTr="00A324B6">
        <w:trPr>
          <w:trHeight w:val="280"/>
          <w:jc w:val="center"/>
        </w:trPr>
        <w:tc>
          <w:tcPr>
            <w:tcW w:w="2581" w:type="pct"/>
            <w:shd w:val="clear" w:color="auto" w:fill="FFFFFF"/>
            <w:vAlign w:val="center"/>
          </w:tcPr>
          <w:p w:rsidR="00A50899" w:rsidRPr="002B5B78" w:rsidRDefault="00A50899" w:rsidP="00A324B6">
            <w:pPr>
              <w:pStyle w:val="Bang2"/>
              <w:spacing w:before="40" w:after="40"/>
            </w:pPr>
            <w:r>
              <w:t xml:space="preserve">2. </w:t>
            </w:r>
            <w:r w:rsidRPr="002B5B78">
              <w:t>Khoa học kỹ thuật và công nghệ</w:t>
            </w:r>
          </w:p>
        </w:tc>
        <w:tc>
          <w:tcPr>
            <w:tcW w:w="1174" w:type="pct"/>
            <w:shd w:val="clear" w:color="auto" w:fill="FFFFFF"/>
            <w:vAlign w:val="bottom"/>
          </w:tcPr>
          <w:p w:rsidR="00A50899" w:rsidRPr="00653742" w:rsidRDefault="00A50899" w:rsidP="00A324B6">
            <w:pPr>
              <w:pStyle w:val="Bang2"/>
              <w:spacing w:before="40" w:after="40"/>
              <w:ind w:right="567"/>
              <w:jc w:val="right"/>
            </w:pPr>
            <w:r w:rsidRPr="00653742">
              <w:t>178</w:t>
            </w:r>
          </w:p>
        </w:tc>
        <w:tc>
          <w:tcPr>
            <w:tcW w:w="1245" w:type="pct"/>
            <w:shd w:val="clear" w:color="auto" w:fill="FFFFFF"/>
            <w:noWrap/>
            <w:vAlign w:val="center"/>
          </w:tcPr>
          <w:p w:rsidR="00A50899" w:rsidRDefault="00A50899" w:rsidP="00A324B6">
            <w:pPr>
              <w:spacing w:before="40" w:after="40"/>
              <w:ind w:right="567"/>
              <w:jc w:val="right"/>
              <w:rPr>
                <w:rFonts w:ascii="Arial" w:hAnsi="Arial" w:cs="Arial"/>
                <w:color w:val="000000"/>
                <w:sz w:val="20"/>
                <w:szCs w:val="20"/>
              </w:rPr>
            </w:pPr>
            <w:r>
              <w:rPr>
                <w:rFonts w:ascii="Arial" w:hAnsi="Arial" w:cs="Arial"/>
                <w:color w:val="000000"/>
                <w:sz w:val="20"/>
                <w:szCs w:val="20"/>
              </w:rPr>
              <w:t>35,2</w:t>
            </w:r>
          </w:p>
        </w:tc>
      </w:tr>
      <w:tr w:rsidR="00A50899" w:rsidRPr="00653742" w:rsidTr="00A324B6">
        <w:trPr>
          <w:trHeight w:val="280"/>
          <w:jc w:val="center"/>
        </w:trPr>
        <w:tc>
          <w:tcPr>
            <w:tcW w:w="2581" w:type="pct"/>
            <w:shd w:val="clear" w:color="auto" w:fill="FFFFFF"/>
            <w:vAlign w:val="center"/>
          </w:tcPr>
          <w:p w:rsidR="00A50899" w:rsidRPr="002B5B78" w:rsidRDefault="00A50899" w:rsidP="00A324B6">
            <w:pPr>
              <w:pStyle w:val="Bang2"/>
              <w:spacing w:before="40" w:after="40"/>
            </w:pPr>
            <w:r>
              <w:t xml:space="preserve">3. </w:t>
            </w:r>
            <w:r w:rsidRPr="002B5B78">
              <w:t>Khoa học y</w:t>
            </w:r>
            <w:r>
              <w:t>,</w:t>
            </w:r>
            <w:r w:rsidRPr="002B5B78">
              <w:t xml:space="preserve"> dược</w:t>
            </w:r>
          </w:p>
        </w:tc>
        <w:tc>
          <w:tcPr>
            <w:tcW w:w="1174" w:type="pct"/>
            <w:shd w:val="clear" w:color="auto" w:fill="FFFFFF"/>
            <w:vAlign w:val="bottom"/>
          </w:tcPr>
          <w:p w:rsidR="00A50899" w:rsidRPr="00653742" w:rsidRDefault="00A50899" w:rsidP="00A324B6">
            <w:pPr>
              <w:pStyle w:val="Bang2"/>
              <w:spacing w:before="40" w:after="40"/>
              <w:ind w:right="567"/>
              <w:jc w:val="right"/>
            </w:pPr>
            <w:r w:rsidRPr="00653742">
              <w:t>27</w:t>
            </w:r>
          </w:p>
        </w:tc>
        <w:tc>
          <w:tcPr>
            <w:tcW w:w="1245" w:type="pct"/>
            <w:shd w:val="clear" w:color="auto" w:fill="FFFFFF"/>
            <w:noWrap/>
            <w:vAlign w:val="center"/>
          </w:tcPr>
          <w:p w:rsidR="00A50899" w:rsidRDefault="00A50899" w:rsidP="00A324B6">
            <w:pPr>
              <w:spacing w:before="40" w:after="40"/>
              <w:ind w:right="567"/>
              <w:jc w:val="right"/>
              <w:rPr>
                <w:rFonts w:ascii="Arial" w:hAnsi="Arial" w:cs="Arial"/>
                <w:color w:val="000000"/>
                <w:sz w:val="20"/>
                <w:szCs w:val="20"/>
              </w:rPr>
            </w:pPr>
            <w:r>
              <w:rPr>
                <w:rFonts w:ascii="Arial" w:hAnsi="Arial" w:cs="Arial"/>
                <w:color w:val="000000"/>
                <w:sz w:val="20"/>
                <w:szCs w:val="20"/>
              </w:rPr>
              <w:t>5,4</w:t>
            </w:r>
          </w:p>
        </w:tc>
      </w:tr>
      <w:tr w:rsidR="00A50899" w:rsidRPr="00653742" w:rsidTr="00A324B6">
        <w:trPr>
          <w:trHeight w:val="280"/>
          <w:jc w:val="center"/>
        </w:trPr>
        <w:tc>
          <w:tcPr>
            <w:tcW w:w="2581" w:type="pct"/>
            <w:shd w:val="clear" w:color="auto" w:fill="FFFFFF"/>
            <w:vAlign w:val="center"/>
          </w:tcPr>
          <w:p w:rsidR="00A50899" w:rsidRPr="002B5B78" w:rsidRDefault="00A50899" w:rsidP="00A324B6">
            <w:pPr>
              <w:pStyle w:val="Bang2"/>
              <w:spacing w:before="40" w:after="40"/>
            </w:pPr>
            <w:r>
              <w:t xml:space="preserve">4. </w:t>
            </w:r>
            <w:r w:rsidRPr="002B5B78">
              <w:t>Khoa học nông nghiệp</w:t>
            </w:r>
          </w:p>
        </w:tc>
        <w:tc>
          <w:tcPr>
            <w:tcW w:w="1174" w:type="pct"/>
            <w:shd w:val="clear" w:color="auto" w:fill="FFFFFF"/>
            <w:vAlign w:val="bottom"/>
          </w:tcPr>
          <w:p w:rsidR="00A50899" w:rsidRPr="00653742" w:rsidRDefault="00A50899" w:rsidP="00A324B6">
            <w:pPr>
              <w:pStyle w:val="Bang2"/>
              <w:spacing w:before="40" w:after="40"/>
              <w:ind w:right="567"/>
              <w:jc w:val="right"/>
            </w:pPr>
            <w:r w:rsidRPr="00653742">
              <w:t>104</w:t>
            </w:r>
          </w:p>
        </w:tc>
        <w:tc>
          <w:tcPr>
            <w:tcW w:w="1245" w:type="pct"/>
            <w:shd w:val="clear" w:color="auto" w:fill="FFFFFF"/>
            <w:noWrap/>
            <w:vAlign w:val="center"/>
          </w:tcPr>
          <w:p w:rsidR="00A50899" w:rsidRDefault="00A50899" w:rsidP="00A324B6">
            <w:pPr>
              <w:spacing w:before="40" w:after="40"/>
              <w:ind w:right="567"/>
              <w:jc w:val="right"/>
              <w:rPr>
                <w:rFonts w:ascii="Arial" w:hAnsi="Arial" w:cs="Arial"/>
                <w:color w:val="000000"/>
                <w:sz w:val="20"/>
                <w:szCs w:val="20"/>
              </w:rPr>
            </w:pPr>
            <w:r>
              <w:rPr>
                <w:rFonts w:ascii="Arial" w:hAnsi="Arial" w:cs="Arial"/>
                <w:color w:val="000000"/>
                <w:sz w:val="20"/>
                <w:szCs w:val="20"/>
              </w:rPr>
              <w:t>20,6</w:t>
            </w:r>
          </w:p>
        </w:tc>
      </w:tr>
      <w:tr w:rsidR="00A50899" w:rsidRPr="00653742" w:rsidTr="00A324B6">
        <w:trPr>
          <w:trHeight w:val="280"/>
          <w:jc w:val="center"/>
        </w:trPr>
        <w:tc>
          <w:tcPr>
            <w:tcW w:w="2581" w:type="pct"/>
            <w:shd w:val="clear" w:color="auto" w:fill="FFFFFF"/>
            <w:vAlign w:val="center"/>
          </w:tcPr>
          <w:p w:rsidR="00A50899" w:rsidRPr="002B5B78" w:rsidRDefault="00A50899" w:rsidP="00A324B6">
            <w:pPr>
              <w:pStyle w:val="Bang2"/>
              <w:spacing w:before="40" w:after="40"/>
            </w:pPr>
            <w:r>
              <w:t xml:space="preserve">5. </w:t>
            </w:r>
            <w:r w:rsidRPr="002B5B78">
              <w:t>Khoa học xã hội</w:t>
            </w:r>
          </w:p>
        </w:tc>
        <w:tc>
          <w:tcPr>
            <w:tcW w:w="1174" w:type="pct"/>
            <w:shd w:val="clear" w:color="auto" w:fill="FFFFFF"/>
            <w:vAlign w:val="bottom"/>
          </w:tcPr>
          <w:p w:rsidR="00A50899" w:rsidRPr="00653742" w:rsidRDefault="00A50899" w:rsidP="00A324B6">
            <w:pPr>
              <w:pStyle w:val="Bang2"/>
              <w:spacing w:before="40" w:after="40"/>
              <w:ind w:right="567"/>
              <w:jc w:val="right"/>
            </w:pPr>
            <w:r w:rsidRPr="00653742">
              <w:t>105</w:t>
            </w:r>
          </w:p>
        </w:tc>
        <w:tc>
          <w:tcPr>
            <w:tcW w:w="1245" w:type="pct"/>
            <w:shd w:val="clear" w:color="auto" w:fill="FFFFFF"/>
            <w:noWrap/>
            <w:vAlign w:val="center"/>
          </w:tcPr>
          <w:p w:rsidR="00A50899" w:rsidRDefault="00A50899" w:rsidP="00A324B6">
            <w:pPr>
              <w:spacing w:before="40" w:after="40"/>
              <w:ind w:right="567"/>
              <w:jc w:val="right"/>
              <w:rPr>
                <w:rFonts w:ascii="Arial" w:hAnsi="Arial" w:cs="Arial"/>
                <w:color w:val="000000"/>
                <w:sz w:val="20"/>
                <w:szCs w:val="20"/>
              </w:rPr>
            </w:pPr>
            <w:r>
              <w:rPr>
                <w:rFonts w:ascii="Arial" w:hAnsi="Arial" w:cs="Arial"/>
                <w:color w:val="000000"/>
                <w:sz w:val="20"/>
                <w:szCs w:val="20"/>
              </w:rPr>
              <w:t>20,8</w:t>
            </w:r>
          </w:p>
        </w:tc>
      </w:tr>
      <w:tr w:rsidR="00A50899" w:rsidRPr="00653742" w:rsidTr="00A324B6">
        <w:trPr>
          <w:trHeight w:val="280"/>
          <w:jc w:val="center"/>
        </w:trPr>
        <w:tc>
          <w:tcPr>
            <w:tcW w:w="2581" w:type="pct"/>
            <w:shd w:val="clear" w:color="auto" w:fill="FFFFFF"/>
            <w:vAlign w:val="center"/>
          </w:tcPr>
          <w:p w:rsidR="00A50899" w:rsidRPr="002B5B78" w:rsidRDefault="00A50899" w:rsidP="00A324B6">
            <w:pPr>
              <w:pStyle w:val="Bang2"/>
              <w:spacing w:before="40" w:after="40"/>
            </w:pPr>
            <w:r>
              <w:t xml:space="preserve">6. </w:t>
            </w:r>
            <w:r w:rsidRPr="002B5B78">
              <w:t>Khoa học nhân văn</w:t>
            </w:r>
          </w:p>
        </w:tc>
        <w:tc>
          <w:tcPr>
            <w:tcW w:w="1174" w:type="pct"/>
            <w:shd w:val="clear" w:color="auto" w:fill="FFFFFF"/>
            <w:vAlign w:val="bottom"/>
          </w:tcPr>
          <w:p w:rsidR="00A50899" w:rsidRPr="00653742" w:rsidRDefault="00A50899" w:rsidP="00A324B6">
            <w:pPr>
              <w:pStyle w:val="Bang2"/>
              <w:spacing w:before="40" w:after="40"/>
              <w:ind w:right="567"/>
              <w:jc w:val="right"/>
            </w:pPr>
            <w:r w:rsidRPr="00653742">
              <w:t>31</w:t>
            </w:r>
          </w:p>
        </w:tc>
        <w:tc>
          <w:tcPr>
            <w:tcW w:w="1245" w:type="pct"/>
            <w:shd w:val="clear" w:color="auto" w:fill="FFFFFF"/>
            <w:noWrap/>
            <w:vAlign w:val="center"/>
          </w:tcPr>
          <w:p w:rsidR="00A50899" w:rsidRDefault="00A50899" w:rsidP="00A324B6">
            <w:pPr>
              <w:spacing w:before="40" w:after="40"/>
              <w:ind w:right="567"/>
              <w:jc w:val="right"/>
              <w:rPr>
                <w:rFonts w:ascii="Arial" w:hAnsi="Arial" w:cs="Arial"/>
                <w:color w:val="000000"/>
                <w:sz w:val="20"/>
                <w:szCs w:val="20"/>
              </w:rPr>
            </w:pPr>
            <w:r>
              <w:rPr>
                <w:rFonts w:ascii="Arial" w:hAnsi="Arial" w:cs="Arial"/>
                <w:color w:val="000000"/>
                <w:sz w:val="20"/>
                <w:szCs w:val="20"/>
              </w:rPr>
              <w:t>6,1</w:t>
            </w:r>
          </w:p>
        </w:tc>
      </w:tr>
      <w:tr w:rsidR="00A50899" w:rsidRPr="00CF460E" w:rsidTr="00A324B6">
        <w:trPr>
          <w:trHeight w:val="280"/>
          <w:jc w:val="center"/>
        </w:trPr>
        <w:tc>
          <w:tcPr>
            <w:tcW w:w="2581" w:type="pct"/>
            <w:shd w:val="clear" w:color="auto" w:fill="FFFFFF"/>
            <w:vAlign w:val="center"/>
          </w:tcPr>
          <w:p w:rsidR="00A50899" w:rsidRPr="00CF460E" w:rsidRDefault="00A50899" w:rsidP="00A324B6">
            <w:pPr>
              <w:pStyle w:val="Bang2"/>
              <w:spacing w:before="40" w:after="40"/>
              <w:rPr>
                <w:b/>
                <w:i/>
              </w:rPr>
            </w:pPr>
            <w:r w:rsidRPr="00CF460E">
              <w:rPr>
                <w:b/>
                <w:i/>
              </w:rPr>
              <w:t>Tổng cộng</w:t>
            </w:r>
          </w:p>
        </w:tc>
        <w:tc>
          <w:tcPr>
            <w:tcW w:w="1174" w:type="pct"/>
            <w:shd w:val="clear" w:color="auto" w:fill="FFFFFF"/>
            <w:vAlign w:val="bottom"/>
          </w:tcPr>
          <w:p w:rsidR="00A50899" w:rsidRPr="00CF460E" w:rsidRDefault="00A50899" w:rsidP="00A324B6">
            <w:pPr>
              <w:pStyle w:val="Bang2"/>
              <w:spacing w:before="40" w:after="40"/>
              <w:ind w:right="567"/>
              <w:jc w:val="right"/>
              <w:rPr>
                <w:b/>
                <w:i/>
              </w:rPr>
            </w:pPr>
            <w:r w:rsidRPr="00CF460E">
              <w:rPr>
                <w:b/>
                <w:i/>
              </w:rPr>
              <w:fldChar w:fldCharType="begin"/>
            </w:r>
            <w:r w:rsidRPr="00CF460E">
              <w:rPr>
                <w:b/>
                <w:i/>
              </w:rPr>
              <w:instrText xml:space="preserve"> =SUM(ABOVE) </w:instrText>
            </w:r>
            <w:r w:rsidRPr="00CF460E">
              <w:rPr>
                <w:b/>
                <w:i/>
              </w:rPr>
              <w:fldChar w:fldCharType="separate"/>
            </w:r>
            <w:r w:rsidRPr="00CF460E">
              <w:rPr>
                <w:b/>
                <w:i/>
                <w:noProof/>
              </w:rPr>
              <w:t>505</w:t>
            </w:r>
            <w:r w:rsidRPr="00CF460E">
              <w:rPr>
                <w:b/>
                <w:i/>
                <w:noProof/>
              </w:rPr>
              <w:fldChar w:fldCharType="end"/>
            </w:r>
          </w:p>
        </w:tc>
        <w:tc>
          <w:tcPr>
            <w:tcW w:w="1245" w:type="pct"/>
            <w:shd w:val="clear" w:color="auto" w:fill="FFFFFF"/>
            <w:noWrap/>
            <w:vAlign w:val="center"/>
          </w:tcPr>
          <w:p w:rsidR="00A50899" w:rsidRPr="00CF460E" w:rsidRDefault="00A50899" w:rsidP="00A324B6">
            <w:pPr>
              <w:pStyle w:val="Bang2"/>
              <w:spacing w:before="40" w:after="40"/>
              <w:ind w:right="567"/>
              <w:jc w:val="right"/>
              <w:rPr>
                <w:b/>
                <w:i/>
              </w:rPr>
            </w:pPr>
            <w:r w:rsidRPr="00CF460E">
              <w:rPr>
                <w:b/>
                <w:i/>
              </w:rPr>
              <w:t>100</w:t>
            </w:r>
          </w:p>
        </w:tc>
      </w:tr>
    </w:tbl>
    <w:p w:rsidR="00320ECA" w:rsidRDefault="00A50899" w:rsidP="00A50899">
      <w:pPr>
        <w:pStyle w:val="nguon"/>
        <w:rPr>
          <w:lang w:val="en-US"/>
        </w:rPr>
      </w:pPr>
      <w:r w:rsidRPr="00F74739">
        <w:t xml:space="preserve">Nguồn: Điều tra tiềm lực của các tổ chức khoa học và công nghệ, điều tra </w:t>
      </w:r>
    </w:p>
    <w:p w:rsidR="00A50899" w:rsidRPr="00F74739" w:rsidRDefault="00A50899" w:rsidP="00A50899">
      <w:pPr>
        <w:pStyle w:val="nguon"/>
      </w:pPr>
      <w:r w:rsidRPr="00F74739">
        <w:t xml:space="preserve">năm 2014, </w:t>
      </w:r>
      <w:r>
        <w:t>Cục Thông tin khoa học và công nghệ Quốc gia</w:t>
      </w:r>
      <w:r w:rsidRPr="00F74739">
        <w:t xml:space="preserve">. </w:t>
      </w:r>
    </w:p>
    <w:p w:rsidR="00A50899" w:rsidRPr="0030786F" w:rsidRDefault="00A50899" w:rsidP="00A50899">
      <w:pPr>
        <w:pStyle w:val="khcnvn"/>
        <w:tabs>
          <w:tab w:val="left" w:pos="3402"/>
        </w:tabs>
        <w:spacing w:before="60"/>
        <w:ind w:firstLine="0"/>
        <w:jc w:val="center"/>
        <w:rPr>
          <w:noProof/>
        </w:rPr>
      </w:pPr>
      <w:r w:rsidRPr="0030786F">
        <w:rPr>
          <w:noProof/>
          <w:lang w:val="en-US" w:eastAsia="en-US"/>
        </w:rPr>
        <w:drawing>
          <wp:inline distT="0" distB="0" distL="0" distR="0" wp14:anchorId="3CEB0906" wp14:editId="1FC5F6A3">
            <wp:extent cx="4316730" cy="23495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730" cy="2349500"/>
                    </a:xfrm>
                    <a:prstGeom prst="rect">
                      <a:avLst/>
                    </a:prstGeom>
                    <a:noFill/>
                    <a:ln>
                      <a:noFill/>
                    </a:ln>
                  </pic:spPr>
                </pic:pic>
              </a:graphicData>
            </a:graphic>
          </wp:inline>
        </w:drawing>
      </w:r>
    </w:p>
    <w:p w:rsidR="00A50899" w:rsidRPr="00A05AE4" w:rsidRDefault="00A50899" w:rsidP="00A50899">
      <w:pPr>
        <w:pStyle w:val="khcnvntenhinh"/>
        <w:rPr>
          <w:rFonts w:eastAsia="Calibri"/>
        </w:rPr>
      </w:pPr>
      <w:bookmarkStart w:id="7" w:name="_Toc453341466"/>
      <w:r w:rsidRPr="00A05AE4">
        <w:rPr>
          <w:rFonts w:eastAsia="Calibri"/>
          <w:b/>
          <w:i/>
        </w:rPr>
        <w:t xml:space="preserve">Hình </w:t>
      </w:r>
      <w:r>
        <w:rPr>
          <w:rFonts w:eastAsia="Calibri"/>
          <w:b/>
          <w:i/>
        </w:rPr>
        <w:t>1.2</w:t>
      </w:r>
      <w:r w:rsidRPr="00A05AE4">
        <w:rPr>
          <w:rFonts w:eastAsia="Calibri"/>
          <w:b/>
          <w:i/>
        </w:rPr>
        <w:t xml:space="preserve">. </w:t>
      </w:r>
      <w:r w:rsidRPr="00A05AE4">
        <w:rPr>
          <w:rFonts w:eastAsia="Calibri"/>
        </w:rPr>
        <w:t>Phân bố các tổ chức NC&amp;PT theo lĩnh vực KH&amp;CN</w:t>
      </w:r>
      <w:bookmarkEnd w:id="7"/>
    </w:p>
    <w:p w:rsidR="00A50899" w:rsidRDefault="00A50899" w:rsidP="00A50899">
      <w:pPr>
        <w:pStyle w:val="bodyA0"/>
        <w:spacing w:before="240"/>
      </w:pPr>
      <w:r>
        <w:lastRenderedPageBreak/>
        <w:t xml:space="preserve">Theo phân bố địa lý, hơn hai phần ba số tổ chức NC&amp;PT tập trung ở Hà Nội và TP. Hồ Chí Minh (69,7%), riêng trên địa bàn Hà Nội đã tập trung hơn một nửa số tổ chức NC&amp;PT (51,9%); vùng Đồng bằng sông Cửu Long chiếm 4,5% và vùng Tây Nguyên chỉ chiếm 2,8% số tổ chức này của cả nước (Bảng </w:t>
      </w:r>
      <w:r>
        <w:rPr>
          <w:lang w:val="en-US"/>
        </w:rPr>
        <w:t>1</w:t>
      </w:r>
      <w:r>
        <w:t xml:space="preserve">.2, Hình </w:t>
      </w:r>
      <w:r>
        <w:rPr>
          <w:lang w:val="en-US"/>
        </w:rPr>
        <w:t>1</w:t>
      </w:r>
      <w:r>
        <w:t>.3).</w:t>
      </w:r>
    </w:p>
    <w:p w:rsidR="00A50899" w:rsidRDefault="00A50899" w:rsidP="00A50899">
      <w:pPr>
        <w:pStyle w:val="khcnvnTenBang"/>
      </w:pPr>
      <w:bookmarkStart w:id="8" w:name="_Toc453342459"/>
      <w:r w:rsidRPr="005C01FF">
        <w:rPr>
          <w:b/>
          <w:i/>
        </w:rPr>
        <w:t xml:space="preserve">Bảng </w:t>
      </w:r>
      <w:r>
        <w:rPr>
          <w:b/>
          <w:i/>
        </w:rPr>
        <w:t>1</w:t>
      </w:r>
      <w:r w:rsidRPr="005C01FF">
        <w:rPr>
          <w:b/>
          <w:i/>
        </w:rPr>
        <w:t>.</w:t>
      </w:r>
      <w:r>
        <w:rPr>
          <w:b/>
          <w:i/>
        </w:rPr>
        <w:t>2</w:t>
      </w:r>
      <w:r w:rsidRPr="005C01FF">
        <w:rPr>
          <w:b/>
          <w:i/>
        </w:rPr>
        <w:t>.</w:t>
      </w:r>
      <w:r>
        <w:rPr>
          <w:b/>
          <w:i/>
        </w:rPr>
        <w:t xml:space="preserve"> </w:t>
      </w:r>
      <w:r w:rsidRPr="00AF1AA6">
        <w:t>T</w:t>
      </w:r>
      <w:r>
        <w:t xml:space="preserve">ổ chức nghiên cứu và phát triển </w:t>
      </w:r>
      <w:r w:rsidRPr="005F43AC">
        <w:t xml:space="preserve">theo </w:t>
      </w:r>
      <w:r>
        <w:t>vùng địa lý</w:t>
      </w:r>
      <w:bookmarkEnd w:id="8"/>
    </w:p>
    <w:tbl>
      <w:tblPr>
        <w:tblW w:w="4827" w:type="pct"/>
        <w:jc w:val="center"/>
        <w:tblLook w:val="04A0" w:firstRow="1" w:lastRow="0" w:firstColumn="1" w:lastColumn="0" w:noHBand="0" w:noVBand="1"/>
      </w:tblPr>
      <w:tblGrid>
        <w:gridCol w:w="5012"/>
        <w:gridCol w:w="2000"/>
        <w:gridCol w:w="2005"/>
      </w:tblGrid>
      <w:tr w:rsidR="00A50899" w:rsidRPr="00B72302" w:rsidTr="00A324B6">
        <w:trPr>
          <w:trHeight w:val="273"/>
          <w:jc w:val="center"/>
        </w:trPr>
        <w:tc>
          <w:tcPr>
            <w:tcW w:w="2779" w:type="pct"/>
            <w:vMerge w:val="restart"/>
            <w:tcBorders>
              <w:top w:val="single" w:sz="4" w:space="0" w:color="auto"/>
              <w:left w:val="single" w:sz="4" w:space="0" w:color="auto"/>
              <w:right w:val="single" w:sz="4" w:space="0" w:color="auto"/>
            </w:tcBorders>
            <w:shd w:val="clear" w:color="auto" w:fill="66CCFF"/>
            <w:noWrap/>
            <w:vAlign w:val="center"/>
          </w:tcPr>
          <w:p w:rsidR="00A50899" w:rsidRPr="00842D77" w:rsidRDefault="00A50899" w:rsidP="00A324B6">
            <w:pPr>
              <w:spacing w:before="60" w:after="40"/>
              <w:jc w:val="center"/>
              <w:rPr>
                <w:rFonts w:ascii="Arial" w:hAnsi="Arial" w:cs="Arial"/>
                <w:b/>
                <w:color w:val="000000"/>
                <w:sz w:val="20"/>
                <w:szCs w:val="20"/>
              </w:rPr>
            </w:pPr>
            <w:r w:rsidRPr="00842D77">
              <w:rPr>
                <w:rFonts w:ascii="Arial" w:hAnsi="Arial" w:cs="Arial"/>
                <w:b/>
                <w:color w:val="000000"/>
                <w:sz w:val="20"/>
                <w:szCs w:val="20"/>
              </w:rPr>
              <w:t>Vùng</w:t>
            </w:r>
          </w:p>
        </w:tc>
        <w:tc>
          <w:tcPr>
            <w:tcW w:w="2221" w:type="pct"/>
            <w:gridSpan w:val="2"/>
            <w:tcBorders>
              <w:top w:val="single" w:sz="4" w:space="0" w:color="auto"/>
              <w:left w:val="nil"/>
              <w:bottom w:val="single" w:sz="4" w:space="0" w:color="auto"/>
              <w:right w:val="single" w:sz="4" w:space="0" w:color="auto"/>
            </w:tcBorders>
            <w:shd w:val="clear" w:color="auto" w:fill="66CCFF"/>
            <w:noWrap/>
            <w:vAlign w:val="center"/>
          </w:tcPr>
          <w:p w:rsidR="00A50899" w:rsidRPr="00842D77" w:rsidRDefault="00A50899" w:rsidP="00A324B6">
            <w:pPr>
              <w:spacing w:before="60" w:after="40"/>
              <w:jc w:val="center"/>
              <w:rPr>
                <w:rFonts w:ascii="Arial" w:hAnsi="Arial" w:cs="Arial"/>
                <w:b/>
                <w:color w:val="000000"/>
                <w:sz w:val="20"/>
                <w:szCs w:val="20"/>
              </w:rPr>
            </w:pPr>
            <w:r w:rsidRPr="00842D77">
              <w:rPr>
                <w:rFonts w:ascii="Arial" w:hAnsi="Arial" w:cs="Arial"/>
                <w:b/>
                <w:color w:val="000000"/>
                <w:sz w:val="20"/>
                <w:szCs w:val="20"/>
              </w:rPr>
              <w:t>Tổ chức NC&amp;PT</w:t>
            </w:r>
          </w:p>
        </w:tc>
      </w:tr>
      <w:tr w:rsidR="00A50899" w:rsidRPr="00B72302" w:rsidTr="00A324B6">
        <w:trPr>
          <w:trHeight w:val="273"/>
          <w:jc w:val="center"/>
        </w:trPr>
        <w:tc>
          <w:tcPr>
            <w:tcW w:w="2779" w:type="pct"/>
            <w:vMerge/>
            <w:tcBorders>
              <w:left w:val="single" w:sz="4" w:space="0" w:color="auto"/>
              <w:bottom w:val="single" w:sz="4" w:space="0" w:color="auto"/>
              <w:right w:val="single" w:sz="4" w:space="0" w:color="auto"/>
            </w:tcBorders>
            <w:shd w:val="clear" w:color="auto" w:fill="66CCFF"/>
            <w:noWrap/>
            <w:vAlign w:val="center"/>
          </w:tcPr>
          <w:p w:rsidR="00A50899" w:rsidRPr="00842D77" w:rsidRDefault="00A50899" w:rsidP="00A324B6">
            <w:pPr>
              <w:spacing w:before="60" w:after="40"/>
              <w:jc w:val="center"/>
              <w:rPr>
                <w:rFonts w:ascii="Arial" w:hAnsi="Arial" w:cs="Arial"/>
                <w:b/>
                <w:color w:val="000000"/>
                <w:sz w:val="20"/>
                <w:szCs w:val="20"/>
              </w:rPr>
            </w:pPr>
          </w:p>
        </w:tc>
        <w:tc>
          <w:tcPr>
            <w:tcW w:w="1109" w:type="pct"/>
            <w:tcBorders>
              <w:top w:val="single" w:sz="4" w:space="0" w:color="auto"/>
              <w:left w:val="nil"/>
              <w:bottom w:val="single" w:sz="4" w:space="0" w:color="auto"/>
              <w:right w:val="single" w:sz="4" w:space="0" w:color="auto"/>
            </w:tcBorders>
            <w:shd w:val="clear" w:color="auto" w:fill="66CCFF"/>
            <w:noWrap/>
            <w:vAlign w:val="center"/>
          </w:tcPr>
          <w:p w:rsidR="00A50899" w:rsidRPr="00842D77" w:rsidRDefault="00A50899" w:rsidP="00A324B6">
            <w:pPr>
              <w:spacing w:before="60" w:after="40"/>
              <w:jc w:val="center"/>
              <w:rPr>
                <w:rFonts w:ascii="Arial" w:hAnsi="Arial" w:cs="Arial"/>
                <w:b/>
                <w:color w:val="000000"/>
                <w:sz w:val="20"/>
                <w:szCs w:val="20"/>
              </w:rPr>
            </w:pPr>
            <w:r w:rsidRPr="00842D77">
              <w:rPr>
                <w:rFonts w:ascii="Arial" w:hAnsi="Arial" w:cs="Arial"/>
                <w:b/>
                <w:color w:val="000000"/>
                <w:sz w:val="20"/>
                <w:szCs w:val="20"/>
              </w:rPr>
              <w:t>Số lượng</w:t>
            </w:r>
          </w:p>
        </w:tc>
        <w:tc>
          <w:tcPr>
            <w:tcW w:w="1112" w:type="pct"/>
            <w:tcBorders>
              <w:top w:val="single" w:sz="4" w:space="0" w:color="auto"/>
              <w:left w:val="nil"/>
              <w:bottom w:val="single" w:sz="4" w:space="0" w:color="auto"/>
              <w:right w:val="single" w:sz="4" w:space="0" w:color="auto"/>
            </w:tcBorders>
            <w:shd w:val="clear" w:color="auto" w:fill="66CCFF"/>
            <w:vAlign w:val="center"/>
          </w:tcPr>
          <w:p w:rsidR="00A50899" w:rsidRPr="00842D77" w:rsidRDefault="00A50899" w:rsidP="00A324B6">
            <w:pPr>
              <w:spacing w:before="60" w:after="40"/>
              <w:jc w:val="center"/>
              <w:rPr>
                <w:rFonts w:ascii="Arial" w:hAnsi="Arial" w:cs="Arial"/>
                <w:b/>
                <w:color w:val="000000"/>
                <w:sz w:val="20"/>
                <w:szCs w:val="20"/>
              </w:rPr>
            </w:pPr>
            <w:r w:rsidRPr="00842D77">
              <w:rPr>
                <w:rFonts w:ascii="Arial" w:hAnsi="Arial" w:cs="Arial"/>
                <w:b/>
                <w:color w:val="000000"/>
                <w:sz w:val="20"/>
                <w:szCs w:val="20"/>
              </w:rPr>
              <w:t>Tỷ lệ (%)</w:t>
            </w:r>
          </w:p>
        </w:tc>
      </w:tr>
      <w:tr w:rsidR="00A50899" w:rsidRPr="00B72302" w:rsidTr="00A324B6">
        <w:trPr>
          <w:trHeight w:val="30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B72302" w:rsidRDefault="00A50899" w:rsidP="00A324B6">
            <w:pPr>
              <w:spacing w:before="60" w:after="60"/>
              <w:rPr>
                <w:rFonts w:ascii="Arial" w:hAnsi="Arial" w:cs="Arial"/>
                <w:color w:val="000000"/>
                <w:sz w:val="20"/>
                <w:szCs w:val="20"/>
              </w:rPr>
            </w:pPr>
            <w:r>
              <w:rPr>
                <w:rFonts w:ascii="Arial" w:hAnsi="Arial" w:cs="Arial"/>
                <w:color w:val="000000"/>
                <w:sz w:val="20"/>
                <w:szCs w:val="20"/>
              </w:rPr>
              <w:t xml:space="preserve">1. </w:t>
            </w:r>
            <w:r w:rsidRPr="00B72302">
              <w:rPr>
                <w:rFonts w:ascii="Arial" w:hAnsi="Arial" w:cs="Arial"/>
                <w:color w:val="000000"/>
                <w:sz w:val="20"/>
                <w:szCs w:val="20"/>
              </w:rPr>
              <w:t>Hà Nội</w:t>
            </w:r>
          </w:p>
        </w:tc>
        <w:tc>
          <w:tcPr>
            <w:tcW w:w="1109" w:type="pct"/>
            <w:tcBorders>
              <w:top w:val="single" w:sz="4" w:space="0" w:color="auto"/>
              <w:left w:val="nil"/>
              <w:bottom w:val="single" w:sz="4" w:space="0" w:color="auto"/>
              <w:right w:val="single" w:sz="4" w:space="0" w:color="auto"/>
            </w:tcBorders>
            <w:shd w:val="clear" w:color="auto" w:fill="auto"/>
            <w:noWrap/>
            <w:vAlign w:val="center"/>
          </w:tcPr>
          <w:p w:rsidR="00A50899" w:rsidRPr="00B72302" w:rsidRDefault="00A50899" w:rsidP="00A324B6">
            <w:pPr>
              <w:spacing w:before="60" w:after="60"/>
              <w:ind w:right="510"/>
              <w:jc w:val="right"/>
              <w:rPr>
                <w:rFonts w:ascii="Arial" w:hAnsi="Arial" w:cs="Arial"/>
                <w:color w:val="000000"/>
                <w:sz w:val="20"/>
                <w:szCs w:val="20"/>
              </w:rPr>
            </w:pPr>
            <w:r w:rsidRPr="00B72302">
              <w:rPr>
                <w:rFonts w:ascii="Arial" w:hAnsi="Arial" w:cs="Arial"/>
                <w:color w:val="000000"/>
                <w:sz w:val="20"/>
                <w:szCs w:val="20"/>
              </w:rPr>
              <w:t>262</w:t>
            </w:r>
          </w:p>
        </w:tc>
        <w:tc>
          <w:tcPr>
            <w:tcW w:w="1112" w:type="pct"/>
            <w:tcBorders>
              <w:top w:val="single" w:sz="4" w:space="0" w:color="auto"/>
              <w:left w:val="nil"/>
              <w:bottom w:val="single" w:sz="4" w:space="0" w:color="auto"/>
              <w:right w:val="single" w:sz="4" w:space="0" w:color="auto"/>
            </w:tcBorders>
            <w:shd w:val="clear" w:color="auto" w:fill="auto"/>
            <w:vAlign w:val="center"/>
          </w:tcPr>
          <w:p w:rsidR="00A50899" w:rsidRPr="00B72302" w:rsidRDefault="00A50899" w:rsidP="00A324B6">
            <w:pPr>
              <w:spacing w:before="60" w:after="60"/>
              <w:ind w:right="510"/>
              <w:jc w:val="right"/>
              <w:rPr>
                <w:rFonts w:ascii="Arial" w:hAnsi="Arial" w:cs="Arial"/>
                <w:color w:val="000000"/>
                <w:sz w:val="20"/>
                <w:szCs w:val="20"/>
              </w:rPr>
            </w:pPr>
            <w:r w:rsidRPr="00B72302">
              <w:rPr>
                <w:rFonts w:ascii="Arial" w:hAnsi="Arial" w:cs="Arial"/>
                <w:color w:val="000000"/>
                <w:sz w:val="20"/>
                <w:szCs w:val="20"/>
              </w:rPr>
              <w:t>51</w:t>
            </w:r>
            <w:r>
              <w:rPr>
                <w:rFonts w:ascii="Arial" w:hAnsi="Arial" w:cs="Arial"/>
                <w:color w:val="000000"/>
                <w:sz w:val="20"/>
                <w:szCs w:val="20"/>
              </w:rPr>
              <w:t>,9</w:t>
            </w:r>
          </w:p>
        </w:tc>
      </w:tr>
      <w:tr w:rsidR="00A50899" w:rsidRPr="00B72302" w:rsidTr="00A324B6">
        <w:trPr>
          <w:trHeight w:val="30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B72302" w:rsidRDefault="00A50899" w:rsidP="00A324B6">
            <w:pPr>
              <w:spacing w:before="60" w:after="60"/>
              <w:rPr>
                <w:rFonts w:ascii="Arial" w:hAnsi="Arial" w:cs="Arial"/>
                <w:color w:val="000000"/>
                <w:sz w:val="20"/>
                <w:szCs w:val="20"/>
              </w:rPr>
            </w:pPr>
            <w:r>
              <w:rPr>
                <w:rFonts w:ascii="Arial" w:hAnsi="Arial" w:cs="Arial"/>
                <w:color w:val="000000"/>
                <w:sz w:val="20"/>
                <w:szCs w:val="20"/>
              </w:rPr>
              <w:t xml:space="preserve">2. </w:t>
            </w:r>
            <w:r w:rsidRPr="00B72302">
              <w:rPr>
                <w:rFonts w:ascii="Arial" w:hAnsi="Arial" w:cs="Arial"/>
                <w:color w:val="000000"/>
                <w:sz w:val="20"/>
                <w:szCs w:val="20"/>
              </w:rPr>
              <w:t>TP. Hồ Chí Minh</w:t>
            </w:r>
          </w:p>
        </w:tc>
        <w:tc>
          <w:tcPr>
            <w:tcW w:w="1109" w:type="pct"/>
            <w:tcBorders>
              <w:top w:val="single" w:sz="4" w:space="0" w:color="auto"/>
              <w:left w:val="nil"/>
              <w:bottom w:val="single" w:sz="4" w:space="0" w:color="auto"/>
              <w:right w:val="single" w:sz="4" w:space="0" w:color="auto"/>
            </w:tcBorders>
            <w:shd w:val="clear" w:color="auto" w:fill="auto"/>
            <w:noWrap/>
            <w:vAlign w:val="center"/>
          </w:tcPr>
          <w:p w:rsidR="00A50899" w:rsidRPr="00B72302" w:rsidRDefault="00A50899" w:rsidP="00A324B6">
            <w:pPr>
              <w:spacing w:before="60" w:after="60"/>
              <w:ind w:right="510"/>
              <w:jc w:val="right"/>
              <w:rPr>
                <w:rFonts w:ascii="Arial" w:hAnsi="Arial" w:cs="Arial"/>
                <w:color w:val="000000"/>
                <w:sz w:val="20"/>
                <w:szCs w:val="20"/>
              </w:rPr>
            </w:pPr>
            <w:r w:rsidRPr="00B72302">
              <w:rPr>
                <w:rFonts w:ascii="Arial" w:hAnsi="Arial" w:cs="Arial"/>
                <w:color w:val="000000"/>
                <w:sz w:val="20"/>
                <w:szCs w:val="20"/>
              </w:rPr>
              <w:t>90</w:t>
            </w:r>
          </w:p>
        </w:tc>
        <w:tc>
          <w:tcPr>
            <w:tcW w:w="1112" w:type="pct"/>
            <w:tcBorders>
              <w:top w:val="single" w:sz="4" w:space="0" w:color="auto"/>
              <w:left w:val="nil"/>
              <w:bottom w:val="single" w:sz="4" w:space="0" w:color="auto"/>
              <w:right w:val="single" w:sz="4" w:space="0" w:color="auto"/>
            </w:tcBorders>
            <w:shd w:val="clear" w:color="auto" w:fill="auto"/>
            <w:vAlign w:val="center"/>
          </w:tcPr>
          <w:p w:rsidR="00A50899" w:rsidRPr="00B72302" w:rsidRDefault="00A50899" w:rsidP="00A324B6">
            <w:pPr>
              <w:spacing w:before="60" w:after="60"/>
              <w:ind w:right="510"/>
              <w:jc w:val="right"/>
              <w:rPr>
                <w:rFonts w:ascii="Arial" w:hAnsi="Arial" w:cs="Arial"/>
                <w:color w:val="000000"/>
                <w:sz w:val="20"/>
                <w:szCs w:val="20"/>
              </w:rPr>
            </w:pPr>
            <w:r w:rsidRPr="00B72302">
              <w:rPr>
                <w:rFonts w:ascii="Arial" w:hAnsi="Arial" w:cs="Arial"/>
                <w:color w:val="000000"/>
                <w:sz w:val="20"/>
                <w:szCs w:val="20"/>
              </w:rPr>
              <w:t>17</w:t>
            </w:r>
            <w:r>
              <w:rPr>
                <w:rFonts w:ascii="Arial" w:hAnsi="Arial" w:cs="Arial"/>
                <w:color w:val="000000"/>
                <w:sz w:val="20"/>
                <w:szCs w:val="20"/>
              </w:rPr>
              <w:t>,</w:t>
            </w:r>
            <w:r w:rsidRPr="00B72302">
              <w:rPr>
                <w:rFonts w:ascii="Arial" w:hAnsi="Arial" w:cs="Arial"/>
                <w:color w:val="000000"/>
                <w:sz w:val="20"/>
                <w:szCs w:val="20"/>
              </w:rPr>
              <w:t>8</w:t>
            </w:r>
          </w:p>
        </w:tc>
      </w:tr>
      <w:tr w:rsidR="00A50899" w:rsidRPr="00B72302" w:rsidTr="00A324B6">
        <w:trPr>
          <w:trHeight w:val="30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B72302" w:rsidRDefault="00A50899" w:rsidP="00A324B6">
            <w:pPr>
              <w:spacing w:before="60" w:after="60"/>
              <w:ind w:left="170" w:hanging="170"/>
              <w:rPr>
                <w:rFonts w:ascii="Arial" w:hAnsi="Arial" w:cs="Arial"/>
                <w:color w:val="000000"/>
                <w:sz w:val="20"/>
                <w:szCs w:val="20"/>
              </w:rPr>
            </w:pPr>
            <w:r>
              <w:rPr>
                <w:rFonts w:ascii="Arial" w:hAnsi="Arial" w:cs="Arial"/>
                <w:color w:val="000000"/>
                <w:sz w:val="20"/>
                <w:szCs w:val="20"/>
              </w:rPr>
              <w:t xml:space="preserve">3. </w:t>
            </w:r>
            <w:r w:rsidRPr="00B72302">
              <w:rPr>
                <w:rFonts w:ascii="Arial" w:hAnsi="Arial" w:cs="Arial"/>
                <w:color w:val="000000"/>
                <w:sz w:val="20"/>
                <w:szCs w:val="20"/>
              </w:rPr>
              <w:t>Đ</w:t>
            </w:r>
            <w:r>
              <w:rPr>
                <w:rFonts w:ascii="Arial" w:hAnsi="Arial" w:cs="Arial"/>
                <w:color w:val="000000"/>
                <w:sz w:val="20"/>
                <w:szCs w:val="20"/>
              </w:rPr>
              <w:t>ồng bằng</w:t>
            </w:r>
            <w:r w:rsidRPr="00B72302">
              <w:rPr>
                <w:rFonts w:ascii="Arial" w:hAnsi="Arial" w:cs="Arial"/>
                <w:color w:val="000000"/>
                <w:sz w:val="20"/>
                <w:szCs w:val="20"/>
              </w:rPr>
              <w:t xml:space="preserve"> sông Hồng</w:t>
            </w:r>
            <w:r>
              <w:rPr>
                <w:rFonts w:ascii="Arial" w:hAnsi="Arial" w:cs="Arial"/>
                <w:color w:val="000000"/>
                <w:sz w:val="20"/>
                <w:szCs w:val="20"/>
              </w:rPr>
              <w:t xml:space="preserve"> </w:t>
            </w:r>
            <w:r w:rsidRPr="002B5B78">
              <w:rPr>
                <w:rFonts w:ascii="Arial" w:hAnsi="Arial" w:cs="Arial"/>
                <w:sz w:val="20"/>
                <w:szCs w:val="20"/>
              </w:rPr>
              <w:t>(</w:t>
            </w:r>
            <w:r>
              <w:rPr>
                <w:rFonts w:ascii="Arial" w:hAnsi="Arial" w:cs="Arial"/>
                <w:sz w:val="20"/>
                <w:szCs w:val="20"/>
              </w:rPr>
              <w:t>không tính</w:t>
            </w:r>
            <w:r w:rsidRPr="002B5B78">
              <w:rPr>
                <w:rFonts w:ascii="Arial" w:hAnsi="Arial" w:cs="Arial"/>
                <w:sz w:val="20"/>
                <w:szCs w:val="20"/>
              </w:rPr>
              <w:t xml:space="preserve"> Hà Nội)</w:t>
            </w:r>
          </w:p>
        </w:tc>
        <w:tc>
          <w:tcPr>
            <w:tcW w:w="1109" w:type="pct"/>
            <w:tcBorders>
              <w:top w:val="single" w:sz="4" w:space="0" w:color="auto"/>
              <w:left w:val="nil"/>
              <w:bottom w:val="single" w:sz="4" w:space="0" w:color="auto"/>
              <w:right w:val="single" w:sz="4" w:space="0" w:color="auto"/>
            </w:tcBorders>
            <w:shd w:val="clear" w:color="auto" w:fill="auto"/>
            <w:noWrap/>
            <w:vAlign w:val="center"/>
          </w:tcPr>
          <w:p w:rsidR="00A50899" w:rsidRPr="00B72302" w:rsidRDefault="00A50899" w:rsidP="00A324B6">
            <w:pPr>
              <w:spacing w:before="60" w:after="60"/>
              <w:ind w:right="510"/>
              <w:jc w:val="right"/>
              <w:rPr>
                <w:rFonts w:ascii="Arial" w:hAnsi="Arial" w:cs="Arial"/>
                <w:color w:val="000000"/>
                <w:sz w:val="20"/>
                <w:szCs w:val="20"/>
              </w:rPr>
            </w:pPr>
            <w:r w:rsidRPr="00B72302">
              <w:rPr>
                <w:rFonts w:ascii="Arial" w:hAnsi="Arial" w:cs="Arial"/>
                <w:color w:val="000000"/>
                <w:sz w:val="20"/>
                <w:szCs w:val="20"/>
              </w:rPr>
              <w:t>24</w:t>
            </w:r>
          </w:p>
        </w:tc>
        <w:tc>
          <w:tcPr>
            <w:tcW w:w="1112" w:type="pct"/>
            <w:tcBorders>
              <w:top w:val="single" w:sz="4" w:space="0" w:color="auto"/>
              <w:left w:val="nil"/>
              <w:bottom w:val="single" w:sz="4" w:space="0" w:color="auto"/>
              <w:right w:val="single" w:sz="4" w:space="0" w:color="auto"/>
            </w:tcBorders>
            <w:shd w:val="clear" w:color="auto" w:fill="auto"/>
            <w:vAlign w:val="center"/>
          </w:tcPr>
          <w:p w:rsidR="00A50899" w:rsidRPr="00B72302" w:rsidRDefault="00A50899" w:rsidP="00A324B6">
            <w:pPr>
              <w:spacing w:before="60" w:after="60"/>
              <w:ind w:right="510"/>
              <w:jc w:val="right"/>
              <w:rPr>
                <w:rFonts w:ascii="Arial" w:hAnsi="Arial" w:cs="Arial"/>
                <w:color w:val="000000"/>
                <w:sz w:val="20"/>
                <w:szCs w:val="20"/>
              </w:rPr>
            </w:pPr>
            <w:r w:rsidRPr="00B72302">
              <w:rPr>
                <w:rFonts w:ascii="Arial" w:hAnsi="Arial" w:cs="Arial"/>
                <w:color w:val="000000"/>
                <w:sz w:val="20"/>
                <w:szCs w:val="20"/>
              </w:rPr>
              <w:t>4</w:t>
            </w:r>
            <w:r>
              <w:rPr>
                <w:rFonts w:ascii="Arial" w:hAnsi="Arial" w:cs="Arial"/>
                <w:color w:val="000000"/>
                <w:sz w:val="20"/>
                <w:szCs w:val="20"/>
              </w:rPr>
              <w:t>,</w:t>
            </w:r>
            <w:r w:rsidRPr="00B72302">
              <w:rPr>
                <w:rFonts w:ascii="Arial" w:hAnsi="Arial" w:cs="Arial"/>
                <w:color w:val="000000"/>
                <w:sz w:val="20"/>
                <w:szCs w:val="20"/>
              </w:rPr>
              <w:t>7</w:t>
            </w:r>
          </w:p>
        </w:tc>
      </w:tr>
      <w:tr w:rsidR="00A50899" w:rsidRPr="00B72302" w:rsidTr="00A324B6">
        <w:trPr>
          <w:trHeight w:val="30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454A79" w:rsidRDefault="00A50899" w:rsidP="00A324B6">
            <w:pPr>
              <w:spacing w:before="60" w:after="60"/>
              <w:ind w:left="170" w:hanging="170"/>
              <w:rPr>
                <w:rFonts w:ascii="Arial" w:hAnsi="Arial" w:cs="Arial"/>
                <w:color w:val="000000"/>
                <w:sz w:val="20"/>
                <w:szCs w:val="20"/>
                <w:lang w:val="fr-FR"/>
              </w:rPr>
            </w:pPr>
            <w:r w:rsidRPr="00454A79">
              <w:rPr>
                <w:rFonts w:ascii="Arial" w:hAnsi="Arial" w:cs="Arial"/>
                <w:color w:val="000000"/>
                <w:sz w:val="20"/>
                <w:szCs w:val="20"/>
                <w:lang w:val="fr-FR"/>
              </w:rPr>
              <w:t>4. Trung du miền núi phía Bắc</w:t>
            </w:r>
          </w:p>
        </w:tc>
        <w:tc>
          <w:tcPr>
            <w:tcW w:w="1109" w:type="pct"/>
            <w:tcBorders>
              <w:top w:val="single" w:sz="4" w:space="0" w:color="auto"/>
              <w:left w:val="nil"/>
              <w:bottom w:val="single" w:sz="4" w:space="0" w:color="auto"/>
              <w:right w:val="single" w:sz="4" w:space="0" w:color="auto"/>
            </w:tcBorders>
            <w:shd w:val="clear" w:color="auto" w:fill="auto"/>
            <w:noWrap/>
            <w:vAlign w:val="center"/>
          </w:tcPr>
          <w:p w:rsidR="00A50899" w:rsidRPr="00B72302" w:rsidRDefault="00A50899" w:rsidP="00A324B6">
            <w:pPr>
              <w:spacing w:before="60" w:after="60"/>
              <w:ind w:right="510"/>
              <w:jc w:val="right"/>
              <w:rPr>
                <w:rFonts w:ascii="Arial" w:hAnsi="Arial" w:cs="Arial"/>
                <w:color w:val="000000"/>
                <w:sz w:val="20"/>
                <w:szCs w:val="20"/>
              </w:rPr>
            </w:pPr>
            <w:r w:rsidRPr="00B72302">
              <w:rPr>
                <w:rFonts w:ascii="Arial" w:hAnsi="Arial" w:cs="Arial"/>
                <w:color w:val="000000"/>
                <w:sz w:val="20"/>
                <w:szCs w:val="20"/>
              </w:rPr>
              <w:t>34</w:t>
            </w:r>
          </w:p>
        </w:tc>
        <w:tc>
          <w:tcPr>
            <w:tcW w:w="1112" w:type="pct"/>
            <w:tcBorders>
              <w:top w:val="single" w:sz="4" w:space="0" w:color="auto"/>
              <w:left w:val="nil"/>
              <w:bottom w:val="single" w:sz="4" w:space="0" w:color="auto"/>
              <w:right w:val="single" w:sz="4" w:space="0" w:color="auto"/>
            </w:tcBorders>
            <w:shd w:val="clear" w:color="auto" w:fill="auto"/>
            <w:vAlign w:val="center"/>
          </w:tcPr>
          <w:p w:rsidR="00A50899" w:rsidRPr="00B72302" w:rsidRDefault="00A50899" w:rsidP="00A324B6">
            <w:pPr>
              <w:spacing w:before="60" w:after="60"/>
              <w:ind w:right="510"/>
              <w:jc w:val="right"/>
              <w:rPr>
                <w:rFonts w:ascii="Arial" w:hAnsi="Arial" w:cs="Arial"/>
                <w:color w:val="000000"/>
                <w:sz w:val="20"/>
                <w:szCs w:val="20"/>
              </w:rPr>
            </w:pPr>
            <w:r w:rsidRPr="00B72302">
              <w:rPr>
                <w:rFonts w:ascii="Arial" w:hAnsi="Arial" w:cs="Arial"/>
                <w:color w:val="000000"/>
                <w:sz w:val="20"/>
                <w:szCs w:val="20"/>
              </w:rPr>
              <w:t>6</w:t>
            </w:r>
            <w:r>
              <w:rPr>
                <w:rFonts w:ascii="Arial" w:hAnsi="Arial" w:cs="Arial"/>
                <w:color w:val="000000"/>
                <w:sz w:val="20"/>
                <w:szCs w:val="20"/>
              </w:rPr>
              <w:t>,</w:t>
            </w:r>
            <w:r w:rsidRPr="00B72302">
              <w:rPr>
                <w:rFonts w:ascii="Arial" w:hAnsi="Arial" w:cs="Arial"/>
                <w:color w:val="000000"/>
                <w:sz w:val="20"/>
                <w:szCs w:val="20"/>
              </w:rPr>
              <w:t>7</w:t>
            </w:r>
          </w:p>
        </w:tc>
      </w:tr>
      <w:tr w:rsidR="00A50899" w:rsidRPr="00B72302" w:rsidTr="00A324B6">
        <w:trPr>
          <w:trHeight w:val="30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B72302" w:rsidRDefault="00A50899" w:rsidP="00A324B6">
            <w:pPr>
              <w:spacing w:before="60" w:after="60"/>
              <w:ind w:left="170" w:hanging="170"/>
              <w:rPr>
                <w:rFonts w:ascii="Arial" w:hAnsi="Arial" w:cs="Arial"/>
                <w:color w:val="000000"/>
                <w:sz w:val="20"/>
                <w:szCs w:val="20"/>
              </w:rPr>
            </w:pPr>
            <w:r>
              <w:rPr>
                <w:rFonts w:ascii="Arial" w:hAnsi="Arial" w:cs="Arial"/>
                <w:color w:val="000000"/>
                <w:sz w:val="20"/>
                <w:szCs w:val="20"/>
              </w:rPr>
              <w:t>5. Bắc Trung Bộ và duyên hải miền T</w:t>
            </w:r>
            <w:r w:rsidRPr="00B72302">
              <w:rPr>
                <w:rFonts w:ascii="Arial" w:hAnsi="Arial" w:cs="Arial"/>
                <w:color w:val="000000"/>
                <w:sz w:val="20"/>
                <w:szCs w:val="20"/>
              </w:rPr>
              <w:t>rung</w:t>
            </w:r>
          </w:p>
        </w:tc>
        <w:tc>
          <w:tcPr>
            <w:tcW w:w="1109" w:type="pct"/>
            <w:tcBorders>
              <w:top w:val="single" w:sz="4" w:space="0" w:color="auto"/>
              <w:left w:val="nil"/>
              <w:bottom w:val="single" w:sz="4" w:space="0" w:color="auto"/>
              <w:right w:val="single" w:sz="4" w:space="0" w:color="auto"/>
            </w:tcBorders>
            <w:shd w:val="clear" w:color="auto" w:fill="auto"/>
            <w:noWrap/>
            <w:vAlign w:val="center"/>
          </w:tcPr>
          <w:p w:rsidR="00A50899" w:rsidRPr="00B72302" w:rsidRDefault="00A50899" w:rsidP="00A324B6">
            <w:pPr>
              <w:spacing w:before="60" w:after="60"/>
              <w:ind w:right="510"/>
              <w:jc w:val="right"/>
              <w:rPr>
                <w:rFonts w:ascii="Arial" w:hAnsi="Arial" w:cs="Arial"/>
                <w:color w:val="000000"/>
                <w:sz w:val="20"/>
                <w:szCs w:val="20"/>
              </w:rPr>
            </w:pPr>
            <w:r w:rsidRPr="00B72302">
              <w:rPr>
                <w:rFonts w:ascii="Arial" w:hAnsi="Arial" w:cs="Arial"/>
                <w:color w:val="000000"/>
                <w:sz w:val="20"/>
                <w:szCs w:val="20"/>
              </w:rPr>
              <w:t>46</w:t>
            </w:r>
          </w:p>
        </w:tc>
        <w:tc>
          <w:tcPr>
            <w:tcW w:w="1112" w:type="pct"/>
            <w:tcBorders>
              <w:top w:val="single" w:sz="4" w:space="0" w:color="auto"/>
              <w:left w:val="nil"/>
              <w:bottom w:val="single" w:sz="4" w:space="0" w:color="auto"/>
              <w:right w:val="single" w:sz="4" w:space="0" w:color="auto"/>
            </w:tcBorders>
            <w:shd w:val="clear" w:color="auto" w:fill="auto"/>
            <w:vAlign w:val="center"/>
          </w:tcPr>
          <w:p w:rsidR="00A50899" w:rsidRPr="00B72302" w:rsidRDefault="00A50899" w:rsidP="00A324B6">
            <w:pPr>
              <w:spacing w:before="60" w:after="60"/>
              <w:ind w:right="510"/>
              <w:jc w:val="right"/>
              <w:rPr>
                <w:rFonts w:ascii="Arial" w:hAnsi="Arial" w:cs="Arial"/>
                <w:color w:val="000000"/>
                <w:sz w:val="20"/>
                <w:szCs w:val="20"/>
              </w:rPr>
            </w:pPr>
            <w:r w:rsidRPr="00B72302">
              <w:rPr>
                <w:rFonts w:ascii="Arial" w:hAnsi="Arial" w:cs="Arial"/>
                <w:color w:val="000000"/>
                <w:sz w:val="20"/>
                <w:szCs w:val="20"/>
              </w:rPr>
              <w:t>9</w:t>
            </w:r>
            <w:r>
              <w:rPr>
                <w:rFonts w:ascii="Arial" w:hAnsi="Arial" w:cs="Arial"/>
                <w:color w:val="000000"/>
                <w:sz w:val="20"/>
                <w:szCs w:val="20"/>
              </w:rPr>
              <w:t>,</w:t>
            </w:r>
            <w:r w:rsidRPr="00B72302">
              <w:rPr>
                <w:rFonts w:ascii="Arial" w:hAnsi="Arial" w:cs="Arial"/>
                <w:color w:val="000000"/>
                <w:sz w:val="20"/>
                <w:szCs w:val="20"/>
              </w:rPr>
              <w:t>1</w:t>
            </w:r>
          </w:p>
        </w:tc>
      </w:tr>
      <w:tr w:rsidR="00A50899" w:rsidRPr="00B72302" w:rsidTr="00A324B6">
        <w:trPr>
          <w:trHeight w:val="30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B72302" w:rsidRDefault="00A50899" w:rsidP="00A324B6">
            <w:pPr>
              <w:spacing w:before="60" w:after="60"/>
              <w:rPr>
                <w:rFonts w:ascii="Arial" w:hAnsi="Arial" w:cs="Arial"/>
                <w:color w:val="000000"/>
                <w:sz w:val="20"/>
                <w:szCs w:val="20"/>
              </w:rPr>
            </w:pPr>
            <w:r>
              <w:rPr>
                <w:rFonts w:ascii="Arial" w:hAnsi="Arial" w:cs="Arial"/>
                <w:color w:val="000000"/>
                <w:sz w:val="20"/>
                <w:szCs w:val="20"/>
              </w:rPr>
              <w:t xml:space="preserve">6. </w:t>
            </w:r>
            <w:r w:rsidRPr="00B72302">
              <w:rPr>
                <w:rFonts w:ascii="Arial" w:hAnsi="Arial" w:cs="Arial"/>
                <w:color w:val="000000"/>
                <w:sz w:val="20"/>
                <w:szCs w:val="20"/>
              </w:rPr>
              <w:t xml:space="preserve">Tây </w:t>
            </w:r>
            <w:r>
              <w:rPr>
                <w:rFonts w:ascii="Arial" w:hAnsi="Arial" w:cs="Arial"/>
                <w:color w:val="000000"/>
                <w:sz w:val="20"/>
                <w:szCs w:val="20"/>
              </w:rPr>
              <w:t>N</w:t>
            </w:r>
            <w:r w:rsidRPr="00B72302">
              <w:rPr>
                <w:rFonts w:ascii="Arial" w:hAnsi="Arial" w:cs="Arial"/>
                <w:color w:val="000000"/>
                <w:sz w:val="20"/>
                <w:szCs w:val="20"/>
              </w:rPr>
              <w:t>guyên</w:t>
            </w:r>
          </w:p>
        </w:tc>
        <w:tc>
          <w:tcPr>
            <w:tcW w:w="1109" w:type="pct"/>
            <w:tcBorders>
              <w:top w:val="single" w:sz="4" w:space="0" w:color="auto"/>
              <w:left w:val="nil"/>
              <w:bottom w:val="single" w:sz="4" w:space="0" w:color="auto"/>
              <w:right w:val="single" w:sz="4" w:space="0" w:color="auto"/>
            </w:tcBorders>
            <w:shd w:val="clear" w:color="auto" w:fill="auto"/>
            <w:noWrap/>
            <w:vAlign w:val="center"/>
          </w:tcPr>
          <w:p w:rsidR="00A50899" w:rsidRPr="00B72302" w:rsidRDefault="00A50899" w:rsidP="00A324B6">
            <w:pPr>
              <w:spacing w:before="60" w:after="60"/>
              <w:ind w:right="510"/>
              <w:jc w:val="right"/>
              <w:rPr>
                <w:rFonts w:ascii="Arial" w:hAnsi="Arial" w:cs="Arial"/>
                <w:color w:val="000000"/>
                <w:sz w:val="20"/>
                <w:szCs w:val="20"/>
              </w:rPr>
            </w:pPr>
            <w:r w:rsidRPr="00B72302">
              <w:rPr>
                <w:rFonts w:ascii="Arial" w:hAnsi="Arial" w:cs="Arial"/>
                <w:color w:val="000000"/>
                <w:sz w:val="20"/>
                <w:szCs w:val="20"/>
              </w:rPr>
              <w:t>14</w:t>
            </w:r>
          </w:p>
        </w:tc>
        <w:tc>
          <w:tcPr>
            <w:tcW w:w="1112" w:type="pct"/>
            <w:tcBorders>
              <w:top w:val="single" w:sz="4" w:space="0" w:color="auto"/>
              <w:left w:val="nil"/>
              <w:bottom w:val="single" w:sz="4" w:space="0" w:color="auto"/>
              <w:right w:val="single" w:sz="4" w:space="0" w:color="auto"/>
            </w:tcBorders>
            <w:shd w:val="clear" w:color="auto" w:fill="auto"/>
            <w:vAlign w:val="center"/>
          </w:tcPr>
          <w:p w:rsidR="00A50899" w:rsidRPr="00B72302" w:rsidRDefault="00A50899" w:rsidP="00A324B6">
            <w:pPr>
              <w:spacing w:before="60" w:after="60"/>
              <w:ind w:right="510"/>
              <w:jc w:val="right"/>
              <w:rPr>
                <w:rFonts w:ascii="Arial" w:hAnsi="Arial" w:cs="Arial"/>
                <w:color w:val="000000"/>
                <w:sz w:val="20"/>
                <w:szCs w:val="20"/>
              </w:rPr>
            </w:pPr>
            <w:r w:rsidRPr="00B72302">
              <w:rPr>
                <w:rFonts w:ascii="Arial" w:hAnsi="Arial" w:cs="Arial"/>
                <w:color w:val="000000"/>
                <w:sz w:val="20"/>
                <w:szCs w:val="20"/>
              </w:rPr>
              <w:t>2</w:t>
            </w:r>
            <w:r>
              <w:rPr>
                <w:rFonts w:ascii="Arial" w:hAnsi="Arial" w:cs="Arial"/>
                <w:color w:val="000000"/>
                <w:sz w:val="20"/>
                <w:szCs w:val="20"/>
              </w:rPr>
              <w:t>,8</w:t>
            </w:r>
          </w:p>
        </w:tc>
      </w:tr>
      <w:tr w:rsidR="00A50899" w:rsidRPr="00B72302" w:rsidTr="00A324B6">
        <w:trPr>
          <w:trHeight w:val="30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B72302" w:rsidRDefault="00A50899" w:rsidP="00A324B6">
            <w:pPr>
              <w:spacing w:before="60" w:after="60"/>
              <w:ind w:left="170" w:hanging="170"/>
              <w:rPr>
                <w:rFonts w:ascii="Arial" w:hAnsi="Arial" w:cs="Arial"/>
                <w:color w:val="000000"/>
                <w:sz w:val="20"/>
                <w:szCs w:val="20"/>
              </w:rPr>
            </w:pPr>
            <w:r>
              <w:rPr>
                <w:rFonts w:ascii="Arial" w:hAnsi="Arial" w:cs="Arial"/>
                <w:color w:val="000000"/>
                <w:sz w:val="20"/>
                <w:szCs w:val="20"/>
              </w:rPr>
              <w:t>7. Đông Nam Bộ (không tính</w:t>
            </w:r>
            <w:r w:rsidRPr="002B5B78">
              <w:rPr>
                <w:rFonts w:ascii="Arial" w:hAnsi="Arial" w:cs="Arial"/>
                <w:sz w:val="20"/>
                <w:szCs w:val="20"/>
              </w:rPr>
              <w:t xml:space="preserve"> T</w:t>
            </w:r>
            <w:r>
              <w:rPr>
                <w:rFonts w:ascii="Arial" w:hAnsi="Arial" w:cs="Arial"/>
                <w:sz w:val="20"/>
                <w:szCs w:val="20"/>
              </w:rPr>
              <w:t>P</w:t>
            </w:r>
            <w:r w:rsidRPr="002B5B78">
              <w:rPr>
                <w:rFonts w:ascii="Arial" w:hAnsi="Arial" w:cs="Arial"/>
                <w:sz w:val="20"/>
                <w:szCs w:val="20"/>
              </w:rPr>
              <w:t>. H</w:t>
            </w:r>
            <w:r>
              <w:rPr>
                <w:rFonts w:ascii="Arial" w:hAnsi="Arial" w:cs="Arial"/>
                <w:sz w:val="20"/>
                <w:szCs w:val="20"/>
              </w:rPr>
              <w:t xml:space="preserve">ồ </w:t>
            </w:r>
            <w:r w:rsidRPr="002B5B78">
              <w:rPr>
                <w:rFonts w:ascii="Arial" w:hAnsi="Arial" w:cs="Arial"/>
                <w:sz w:val="20"/>
                <w:szCs w:val="20"/>
              </w:rPr>
              <w:t>C</w:t>
            </w:r>
            <w:r>
              <w:rPr>
                <w:rFonts w:ascii="Arial" w:hAnsi="Arial" w:cs="Arial"/>
                <w:sz w:val="20"/>
                <w:szCs w:val="20"/>
              </w:rPr>
              <w:t xml:space="preserve">hí </w:t>
            </w:r>
            <w:r w:rsidRPr="002B5B78">
              <w:rPr>
                <w:rFonts w:ascii="Arial" w:hAnsi="Arial" w:cs="Arial"/>
                <w:sz w:val="20"/>
                <w:szCs w:val="20"/>
              </w:rPr>
              <w:t>M</w:t>
            </w:r>
            <w:r>
              <w:rPr>
                <w:rFonts w:ascii="Arial" w:hAnsi="Arial" w:cs="Arial"/>
                <w:sz w:val="20"/>
                <w:szCs w:val="20"/>
              </w:rPr>
              <w:t>inh</w:t>
            </w:r>
            <w:r w:rsidRPr="002B5B78">
              <w:rPr>
                <w:rFonts w:ascii="Arial" w:hAnsi="Arial" w:cs="Arial"/>
                <w:sz w:val="20"/>
                <w:szCs w:val="20"/>
              </w:rPr>
              <w:t>)</w:t>
            </w:r>
          </w:p>
        </w:tc>
        <w:tc>
          <w:tcPr>
            <w:tcW w:w="1109" w:type="pct"/>
            <w:tcBorders>
              <w:top w:val="single" w:sz="4" w:space="0" w:color="auto"/>
              <w:left w:val="nil"/>
              <w:bottom w:val="single" w:sz="4" w:space="0" w:color="auto"/>
              <w:right w:val="single" w:sz="4" w:space="0" w:color="auto"/>
            </w:tcBorders>
            <w:shd w:val="clear" w:color="auto" w:fill="auto"/>
            <w:noWrap/>
            <w:vAlign w:val="center"/>
          </w:tcPr>
          <w:p w:rsidR="00A50899" w:rsidRPr="00B72302" w:rsidRDefault="00A50899" w:rsidP="00A324B6">
            <w:pPr>
              <w:spacing w:before="60" w:after="60"/>
              <w:ind w:right="510"/>
              <w:jc w:val="right"/>
              <w:rPr>
                <w:rFonts w:ascii="Arial" w:hAnsi="Arial" w:cs="Arial"/>
                <w:color w:val="000000"/>
                <w:sz w:val="20"/>
                <w:szCs w:val="20"/>
              </w:rPr>
            </w:pPr>
            <w:r w:rsidRPr="00B72302">
              <w:rPr>
                <w:rFonts w:ascii="Arial" w:hAnsi="Arial" w:cs="Arial"/>
                <w:color w:val="000000"/>
                <w:sz w:val="20"/>
                <w:szCs w:val="20"/>
              </w:rPr>
              <w:t>18</w:t>
            </w:r>
          </w:p>
        </w:tc>
        <w:tc>
          <w:tcPr>
            <w:tcW w:w="1112" w:type="pct"/>
            <w:tcBorders>
              <w:top w:val="single" w:sz="4" w:space="0" w:color="auto"/>
              <w:left w:val="nil"/>
              <w:bottom w:val="single" w:sz="4" w:space="0" w:color="auto"/>
              <w:right w:val="single" w:sz="4" w:space="0" w:color="auto"/>
            </w:tcBorders>
            <w:shd w:val="clear" w:color="auto" w:fill="auto"/>
            <w:vAlign w:val="center"/>
          </w:tcPr>
          <w:p w:rsidR="00A50899" w:rsidRPr="00B72302" w:rsidRDefault="00A50899" w:rsidP="00A324B6">
            <w:pPr>
              <w:spacing w:before="60" w:after="60"/>
              <w:ind w:right="510"/>
              <w:jc w:val="right"/>
              <w:rPr>
                <w:rFonts w:ascii="Arial" w:hAnsi="Arial" w:cs="Arial"/>
                <w:color w:val="000000"/>
                <w:sz w:val="20"/>
                <w:szCs w:val="20"/>
              </w:rPr>
            </w:pPr>
            <w:r w:rsidRPr="00B72302">
              <w:rPr>
                <w:rFonts w:ascii="Arial" w:hAnsi="Arial" w:cs="Arial"/>
                <w:color w:val="000000"/>
                <w:sz w:val="20"/>
                <w:szCs w:val="20"/>
              </w:rPr>
              <w:t>3</w:t>
            </w:r>
            <w:r>
              <w:rPr>
                <w:rFonts w:ascii="Arial" w:hAnsi="Arial" w:cs="Arial"/>
                <w:color w:val="000000"/>
                <w:sz w:val="20"/>
                <w:szCs w:val="20"/>
              </w:rPr>
              <w:t>,5</w:t>
            </w:r>
          </w:p>
        </w:tc>
      </w:tr>
      <w:tr w:rsidR="00A50899" w:rsidRPr="00B72302" w:rsidTr="00A324B6">
        <w:trPr>
          <w:trHeight w:val="30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B72302" w:rsidRDefault="00A50899" w:rsidP="00A324B6">
            <w:pPr>
              <w:spacing w:before="60" w:after="60"/>
              <w:rPr>
                <w:rFonts w:ascii="Arial" w:hAnsi="Arial" w:cs="Arial"/>
                <w:color w:val="000000"/>
                <w:sz w:val="20"/>
                <w:szCs w:val="20"/>
              </w:rPr>
            </w:pPr>
            <w:r>
              <w:rPr>
                <w:rFonts w:ascii="Arial" w:hAnsi="Arial" w:cs="Arial"/>
                <w:color w:val="000000"/>
                <w:sz w:val="20"/>
                <w:szCs w:val="20"/>
              </w:rPr>
              <w:t xml:space="preserve">8. </w:t>
            </w:r>
            <w:r w:rsidRPr="00B72302">
              <w:rPr>
                <w:rFonts w:ascii="Arial" w:hAnsi="Arial" w:cs="Arial"/>
                <w:color w:val="000000"/>
                <w:sz w:val="20"/>
                <w:szCs w:val="20"/>
              </w:rPr>
              <w:t>Đ</w:t>
            </w:r>
            <w:r>
              <w:rPr>
                <w:rFonts w:ascii="Arial" w:hAnsi="Arial" w:cs="Arial"/>
                <w:color w:val="000000"/>
                <w:sz w:val="20"/>
                <w:szCs w:val="20"/>
              </w:rPr>
              <w:t>ồng bằng</w:t>
            </w:r>
            <w:r w:rsidRPr="00B72302">
              <w:rPr>
                <w:rFonts w:ascii="Arial" w:hAnsi="Arial" w:cs="Arial"/>
                <w:color w:val="000000"/>
                <w:sz w:val="20"/>
                <w:szCs w:val="20"/>
              </w:rPr>
              <w:t xml:space="preserve"> sông </w:t>
            </w:r>
            <w:r>
              <w:rPr>
                <w:rFonts w:ascii="Arial" w:hAnsi="Arial" w:cs="Arial"/>
                <w:color w:val="000000"/>
                <w:sz w:val="20"/>
                <w:szCs w:val="20"/>
              </w:rPr>
              <w:t>Cửu L</w:t>
            </w:r>
            <w:r w:rsidRPr="00B72302">
              <w:rPr>
                <w:rFonts w:ascii="Arial" w:hAnsi="Arial" w:cs="Arial"/>
                <w:color w:val="000000"/>
                <w:sz w:val="20"/>
                <w:szCs w:val="20"/>
              </w:rPr>
              <w:t>ong</w:t>
            </w:r>
          </w:p>
        </w:tc>
        <w:tc>
          <w:tcPr>
            <w:tcW w:w="1109" w:type="pct"/>
            <w:tcBorders>
              <w:top w:val="single" w:sz="4" w:space="0" w:color="auto"/>
              <w:left w:val="nil"/>
              <w:bottom w:val="single" w:sz="4" w:space="0" w:color="auto"/>
              <w:right w:val="single" w:sz="4" w:space="0" w:color="auto"/>
            </w:tcBorders>
            <w:shd w:val="clear" w:color="auto" w:fill="auto"/>
            <w:noWrap/>
            <w:vAlign w:val="center"/>
          </w:tcPr>
          <w:p w:rsidR="00A50899" w:rsidRPr="00B72302" w:rsidRDefault="00A50899" w:rsidP="00A324B6">
            <w:pPr>
              <w:spacing w:before="60" w:after="60"/>
              <w:ind w:right="510"/>
              <w:jc w:val="right"/>
              <w:rPr>
                <w:rFonts w:ascii="Arial" w:hAnsi="Arial" w:cs="Arial"/>
                <w:color w:val="000000"/>
                <w:sz w:val="20"/>
                <w:szCs w:val="20"/>
              </w:rPr>
            </w:pPr>
            <w:r w:rsidRPr="00B72302">
              <w:rPr>
                <w:rFonts w:ascii="Arial" w:hAnsi="Arial" w:cs="Arial"/>
                <w:color w:val="000000"/>
                <w:sz w:val="20"/>
                <w:szCs w:val="20"/>
              </w:rPr>
              <w:t>23</w:t>
            </w:r>
          </w:p>
        </w:tc>
        <w:tc>
          <w:tcPr>
            <w:tcW w:w="1112" w:type="pct"/>
            <w:tcBorders>
              <w:top w:val="single" w:sz="4" w:space="0" w:color="auto"/>
              <w:left w:val="nil"/>
              <w:bottom w:val="single" w:sz="4" w:space="0" w:color="auto"/>
              <w:right w:val="single" w:sz="4" w:space="0" w:color="auto"/>
            </w:tcBorders>
            <w:shd w:val="clear" w:color="auto" w:fill="auto"/>
            <w:vAlign w:val="center"/>
          </w:tcPr>
          <w:p w:rsidR="00A50899" w:rsidRPr="00B72302" w:rsidRDefault="00A50899" w:rsidP="00A324B6">
            <w:pPr>
              <w:spacing w:before="60" w:after="60"/>
              <w:ind w:right="510"/>
              <w:jc w:val="right"/>
              <w:rPr>
                <w:rFonts w:ascii="Arial" w:hAnsi="Arial" w:cs="Arial"/>
                <w:color w:val="000000"/>
                <w:sz w:val="20"/>
                <w:szCs w:val="20"/>
              </w:rPr>
            </w:pPr>
            <w:r w:rsidRPr="00B72302">
              <w:rPr>
                <w:rFonts w:ascii="Arial" w:hAnsi="Arial" w:cs="Arial"/>
                <w:color w:val="000000"/>
                <w:sz w:val="20"/>
                <w:szCs w:val="20"/>
              </w:rPr>
              <w:t>4</w:t>
            </w:r>
            <w:r>
              <w:rPr>
                <w:rFonts w:ascii="Arial" w:hAnsi="Arial" w:cs="Arial"/>
                <w:color w:val="000000"/>
                <w:sz w:val="20"/>
                <w:szCs w:val="20"/>
              </w:rPr>
              <w:t>,</w:t>
            </w:r>
            <w:r w:rsidRPr="00B72302">
              <w:rPr>
                <w:rFonts w:ascii="Arial" w:hAnsi="Arial" w:cs="Arial"/>
                <w:color w:val="000000"/>
                <w:sz w:val="20"/>
                <w:szCs w:val="20"/>
              </w:rPr>
              <w:t>5</w:t>
            </w:r>
          </w:p>
        </w:tc>
      </w:tr>
      <w:tr w:rsidR="00A50899" w:rsidRPr="00CF460E" w:rsidTr="00A324B6">
        <w:trPr>
          <w:trHeight w:val="385"/>
          <w:jc w:val="center"/>
        </w:trPr>
        <w:tc>
          <w:tcPr>
            <w:tcW w:w="2779" w:type="pct"/>
            <w:tcBorders>
              <w:top w:val="nil"/>
              <w:left w:val="single" w:sz="8" w:space="0" w:color="auto"/>
              <w:bottom w:val="single" w:sz="8" w:space="0" w:color="auto"/>
              <w:right w:val="single" w:sz="8" w:space="0" w:color="auto"/>
            </w:tcBorders>
            <w:shd w:val="clear" w:color="auto" w:fill="auto"/>
            <w:vAlign w:val="center"/>
          </w:tcPr>
          <w:p w:rsidR="00A50899" w:rsidRPr="00CF460E" w:rsidRDefault="00A50899" w:rsidP="00A324B6">
            <w:pPr>
              <w:spacing w:before="60" w:after="60"/>
              <w:rPr>
                <w:rFonts w:ascii="Arial" w:hAnsi="Arial" w:cs="Arial"/>
                <w:b/>
                <w:bCs/>
                <w:i/>
                <w:iCs/>
                <w:color w:val="000000"/>
                <w:sz w:val="20"/>
                <w:szCs w:val="20"/>
              </w:rPr>
            </w:pPr>
            <w:r w:rsidRPr="00CF460E">
              <w:rPr>
                <w:rFonts w:ascii="Arial" w:hAnsi="Arial" w:cs="Arial"/>
                <w:b/>
                <w:bCs/>
                <w:i/>
                <w:iCs/>
                <w:color w:val="000000"/>
                <w:sz w:val="20"/>
                <w:szCs w:val="20"/>
              </w:rPr>
              <w:t>Toàn bộ</w:t>
            </w:r>
          </w:p>
        </w:tc>
        <w:tc>
          <w:tcPr>
            <w:tcW w:w="1109" w:type="pct"/>
            <w:tcBorders>
              <w:top w:val="nil"/>
              <w:left w:val="nil"/>
              <w:bottom w:val="single" w:sz="8" w:space="0" w:color="auto"/>
              <w:right w:val="single" w:sz="8" w:space="0" w:color="auto"/>
            </w:tcBorders>
            <w:shd w:val="clear" w:color="auto" w:fill="auto"/>
            <w:vAlign w:val="center"/>
          </w:tcPr>
          <w:p w:rsidR="00A50899" w:rsidRPr="00CF460E" w:rsidRDefault="00A50899" w:rsidP="00A324B6">
            <w:pPr>
              <w:spacing w:before="60" w:after="60"/>
              <w:ind w:right="510"/>
              <w:jc w:val="right"/>
              <w:rPr>
                <w:rFonts w:ascii="Arial" w:hAnsi="Arial" w:cs="Arial"/>
                <w:b/>
                <w:bCs/>
                <w:i/>
                <w:iCs/>
                <w:color w:val="000000"/>
                <w:sz w:val="20"/>
                <w:szCs w:val="20"/>
              </w:rPr>
            </w:pPr>
            <w:r w:rsidRPr="00CF460E">
              <w:rPr>
                <w:rFonts w:ascii="Arial" w:hAnsi="Arial" w:cs="Arial"/>
                <w:b/>
                <w:bCs/>
                <w:i/>
                <w:iCs/>
                <w:color w:val="000000"/>
                <w:sz w:val="20"/>
                <w:szCs w:val="20"/>
              </w:rPr>
              <w:t>505</w:t>
            </w:r>
          </w:p>
        </w:tc>
        <w:tc>
          <w:tcPr>
            <w:tcW w:w="1112" w:type="pct"/>
            <w:tcBorders>
              <w:top w:val="nil"/>
              <w:left w:val="nil"/>
              <w:bottom w:val="single" w:sz="8" w:space="0" w:color="auto"/>
              <w:right w:val="single" w:sz="8" w:space="0" w:color="auto"/>
            </w:tcBorders>
            <w:shd w:val="clear" w:color="auto" w:fill="auto"/>
            <w:vAlign w:val="center"/>
          </w:tcPr>
          <w:p w:rsidR="00A50899" w:rsidRPr="00CF460E" w:rsidRDefault="00A50899" w:rsidP="00A324B6">
            <w:pPr>
              <w:spacing w:before="60" w:after="60"/>
              <w:ind w:right="510"/>
              <w:jc w:val="right"/>
              <w:rPr>
                <w:rFonts w:ascii="Arial" w:hAnsi="Arial" w:cs="Arial"/>
                <w:b/>
                <w:bCs/>
                <w:i/>
                <w:iCs/>
                <w:color w:val="000000"/>
                <w:sz w:val="20"/>
                <w:szCs w:val="20"/>
              </w:rPr>
            </w:pPr>
            <w:r w:rsidRPr="00CF460E">
              <w:rPr>
                <w:rFonts w:ascii="Arial" w:hAnsi="Arial" w:cs="Arial"/>
                <w:b/>
                <w:bCs/>
                <w:i/>
                <w:iCs/>
                <w:color w:val="000000"/>
                <w:sz w:val="20"/>
                <w:szCs w:val="20"/>
              </w:rPr>
              <w:t>100</w:t>
            </w:r>
          </w:p>
        </w:tc>
      </w:tr>
    </w:tbl>
    <w:p w:rsidR="00A50899" w:rsidRDefault="00A50899" w:rsidP="00320ECA">
      <w:pPr>
        <w:pStyle w:val="nguon"/>
      </w:pPr>
      <w:r w:rsidRPr="00F74739">
        <w:t xml:space="preserve">Nguồn: Điều tra tiềm lực của các tổ chức khoa học và công nghệ, </w:t>
      </w:r>
      <w:r>
        <w:t>năm 2014.</w:t>
      </w:r>
    </w:p>
    <w:p w:rsidR="00A50899" w:rsidRPr="00EB750A" w:rsidRDefault="00A50899" w:rsidP="00A50899">
      <w:pPr>
        <w:pStyle w:val="khcnvn"/>
        <w:spacing w:before="180"/>
        <w:ind w:firstLine="0"/>
        <w:jc w:val="left"/>
        <w:rPr>
          <w:rFonts w:ascii="Arial" w:hAnsi="Arial" w:cs="Arial"/>
          <w:sz w:val="20"/>
          <w:szCs w:val="20"/>
        </w:rPr>
      </w:pPr>
      <w:r w:rsidRPr="00EB750A">
        <w:rPr>
          <w:rFonts w:ascii="Arial" w:hAnsi="Arial" w:cs="Arial"/>
          <w:noProof/>
          <w:sz w:val="20"/>
          <w:szCs w:val="20"/>
          <w:lang w:val="en-US" w:eastAsia="en-US"/>
        </w:rPr>
        <w:drawing>
          <wp:inline distT="0" distB="0" distL="0" distR="0" wp14:anchorId="08937B53" wp14:editId="1CEEC3CB">
            <wp:extent cx="4497705" cy="2519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b="6584"/>
                    <a:stretch>
                      <a:fillRect/>
                    </a:stretch>
                  </pic:blipFill>
                  <pic:spPr bwMode="auto">
                    <a:xfrm>
                      <a:off x="0" y="0"/>
                      <a:ext cx="4497705" cy="2519680"/>
                    </a:xfrm>
                    <a:prstGeom prst="rect">
                      <a:avLst/>
                    </a:prstGeom>
                    <a:noFill/>
                    <a:ln>
                      <a:noFill/>
                    </a:ln>
                  </pic:spPr>
                </pic:pic>
              </a:graphicData>
            </a:graphic>
          </wp:inline>
        </w:drawing>
      </w:r>
    </w:p>
    <w:p w:rsidR="00A50899" w:rsidRPr="00A05AE4" w:rsidRDefault="00A50899" w:rsidP="00A50899">
      <w:pPr>
        <w:pStyle w:val="khcnvntenhinh"/>
        <w:rPr>
          <w:rFonts w:eastAsia="Calibri"/>
        </w:rPr>
      </w:pPr>
      <w:bookmarkStart w:id="9" w:name="_Toc453341467"/>
      <w:r w:rsidRPr="00A05AE4">
        <w:rPr>
          <w:rFonts w:eastAsia="Calibri"/>
          <w:b/>
          <w:i/>
          <w:lang w:val="vi-VN"/>
        </w:rPr>
        <w:t xml:space="preserve">Hình </w:t>
      </w:r>
      <w:r>
        <w:rPr>
          <w:rFonts w:eastAsia="Calibri"/>
          <w:b/>
          <w:i/>
        </w:rPr>
        <w:t>1</w:t>
      </w:r>
      <w:r w:rsidRPr="00A05AE4">
        <w:rPr>
          <w:rFonts w:eastAsia="Calibri"/>
          <w:b/>
          <w:i/>
          <w:lang w:val="vi-VN"/>
        </w:rPr>
        <w:t xml:space="preserve">.3. </w:t>
      </w:r>
      <w:r w:rsidRPr="00A05AE4">
        <w:rPr>
          <w:rFonts w:eastAsia="Calibri"/>
          <w:lang w:val="vi-VN"/>
        </w:rPr>
        <w:t>Phân bố các tổ chức NC&amp;PT theo vùng địa lý</w:t>
      </w:r>
      <w:bookmarkEnd w:id="9"/>
    </w:p>
    <w:p w:rsidR="00A50899" w:rsidRDefault="00A50899" w:rsidP="00A50899">
      <w:pPr>
        <w:pStyle w:val="bodyA0"/>
        <w:spacing w:before="240" w:line="286" w:lineRule="auto"/>
      </w:pPr>
      <w:r w:rsidRPr="00704B56">
        <w:t xml:space="preserve">Theo quy mô nhân lực KH&amp;CN, nhân lực bình quân của </w:t>
      </w:r>
      <w:r>
        <w:t>505</w:t>
      </w:r>
      <w:r w:rsidRPr="00704B56">
        <w:t xml:space="preserve"> tổ chức NC&amp;PT vào khoảng 55 người. Số tổ chức có quy mô lớn (trên 300 n</w:t>
      </w:r>
      <w:r>
        <w:t>gười</w:t>
      </w:r>
      <w:r w:rsidRPr="00704B56">
        <w:t>) chỉ có khoảng 3%.</w:t>
      </w:r>
    </w:p>
    <w:p w:rsidR="00A50899" w:rsidRDefault="00A50899" w:rsidP="00A50899">
      <w:pPr>
        <w:pStyle w:val="bodyA0"/>
        <w:spacing w:line="300" w:lineRule="auto"/>
      </w:pPr>
      <w:r w:rsidRPr="005B437F">
        <w:t xml:space="preserve">Trong những năm gần đây, một số tổ chức nghiên cứu khoa học và phát triển công nghệ tiên tiến tầm </w:t>
      </w:r>
      <w:r>
        <w:t xml:space="preserve">cỡ </w:t>
      </w:r>
      <w:r w:rsidRPr="005B437F">
        <w:t xml:space="preserve">quốc tế đã được Chính phủ thành lập, với mục đích tạo ra những đột phá trong hoạt động KH&amp;CN và các sản phẩm nghiên cứu chất lượng cao. Các tổ chức này hoạt động với cơ chế </w:t>
      </w:r>
      <w:r w:rsidRPr="005B437F">
        <w:lastRenderedPageBreak/>
        <w:t>đặc thù của hoạt động nghiên cứu khoa học và phát triển công nghệ mang tính tự chủ cao và đầu tư</w:t>
      </w:r>
      <w:r>
        <w:t xml:space="preserve"> xứng tầm, ví dụ như Viện T</w:t>
      </w:r>
      <w:r w:rsidRPr="005B437F">
        <w:t>oán cao cấp, Viện V-KIST (Khung 1),…</w:t>
      </w:r>
    </w:p>
    <w:p w:rsidR="00A50899" w:rsidRDefault="00A50899" w:rsidP="00A50899">
      <w:pPr>
        <w:pStyle w:val="bodyA0"/>
        <w:rPr>
          <w:spacing w:val="-6"/>
        </w:rPr>
      </w:pPr>
      <w:r>
        <w:rPr>
          <w:noProof/>
          <w:lang w:val="en-US" w:eastAsia="en-US"/>
        </w:rPr>
        <mc:AlternateContent>
          <mc:Choice Requires="wps">
            <w:drawing>
              <wp:anchor distT="0" distB="0" distL="114300" distR="114300" simplePos="0" relativeHeight="251659264" behindDoc="1" locked="0" layoutInCell="1" allowOverlap="1" wp14:anchorId="0EDA15C5" wp14:editId="5F81E3EE">
                <wp:simplePos x="0" y="0"/>
                <wp:positionH relativeFrom="margin">
                  <wp:align>center</wp:align>
                </wp:positionH>
                <wp:positionV relativeFrom="paragraph">
                  <wp:posOffset>166680</wp:posOffset>
                </wp:positionV>
                <wp:extent cx="4512945" cy="4722495"/>
                <wp:effectExtent l="0" t="0" r="20955" b="2095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945" cy="4722495"/>
                        </a:xfrm>
                        <a:prstGeom prst="rect">
                          <a:avLst/>
                        </a:prstGeom>
                        <a:solidFill>
                          <a:srgbClr val="FFFFFF"/>
                        </a:solidFill>
                        <a:ln w="9525">
                          <a:solidFill>
                            <a:srgbClr val="000000"/>
                          </a:solidFill>
                          <a:miter lim="800000"/>
                          <a:headEnd/>
                          <a:tailEnd/>
                        </a:ln>
                      </wps:spPr>
                      <wps:txbx>
                        <w:txbxContent>
                          <w:p w:rsidR="00A50899" w:rsidRPr="00EE453B" w:rsidRDefault="00A50899" w:rsidP="00A50899">
                            <w:pPr>
                              <w:pStyle w:val="Normal2"/>
                              <w:spacing w:before="240" w:beforeAutospacing="0" w:after="0" w:afterAutospacing="0" w:line="264" w:lineRule="auto"/>
                              <w:jc w:val="center"/>
                              <w:rPr>
                                <w:rFonts w:ascii="Arial" w:hAnsi="Arial" w:cs="Arial"/>
                                <w:b/>
                                <w:color w:val="0070C0"/>
                                <w:sz w:val="20"/>
                                <w:szCs w:val="20"/>
                              </w:rPr>
                            </w:pPr>
                            <w:r w:rsidRPr="00EE453B">
                              <w:rPr>
                                <w:rFonts w:ascii="Arial" w:hAnsi="Arial" w:cs="Arial"/>
                                <w:b/>
                                <w:color w:val="0070C0"/>
                                <w:sz w:val="20"/>
                                <w:szCs w:val="20"/>
                              </w:rPr>
                              <w:t>Khung 1. Viện Khoa học và Công nghệ Việt Nam - Hàn Quốc (V-KIST)</w:t>
                            </w:r>
                          </w:p>
                          <w:p w:rsidR="00A50899" w:rsidRDefault="00A50899" w:rsidP="00A50899">
                            <w:pPr>
                              <w:pStyle w:val="NormalWeb"/>
                              <w:shd w:val="clear" w:color="auto" w:fill="FFFFFF"/>
                              <w:spacing w:before="0" w:beforeAutospacing="0" w:after="0" w:afterAutospacing="0" w:line="264" w:lineRule="auto"/>
                              <w:jc w:val="both"/>
                              <w:textAlignment w:val="baseline"/>
                              <w:rPr>
                                <w:rFonts w:ascii="Arial" w:hAnsi="Arial" w:cs="Arial"/>
                                <w:color w:val="222222"/>
                                <w:sz w:val="20"/>
                                <w:szCs w:val="20"/>
                              </w:rPr>
                            </w:pPr>
                          </w:p>
                          <w:p w:rsidR="00A50899" w:rsidRPr="00491A9B" w:rsidRDefault="00A50899" w:rsidP="00A50899">
                            <w:pPr>
                              <w:pStyle w:val="NormalWeb"/>
                              <w:shd w:val="clear" w:color="auto" w:fill="FFFFFF"/>
                              <w:spacing w:before="0" w:beforeAutospacing="0" w:after="60" w:afterAutospacing="0" w:line="293" w:lineRule="auto"/>
                              <w:jc w:val="both"/>
                              <w:textAlignment w:val="baseline"/>
                              <w:rPr>
                                <w:rFonts w:ascii="Arial" w:hAnsi="Arial" w:cs="Arial"/>
                                <w:color w:val="222222"/>
                                <w:sz w:val="20"/>
                                <w:szCs w:val="20"/>
                              </w:rPr>
                            </w:pPr>
                            <w:r w:rsidRPr="00491A9B">
                              <w:rPr>
                                <w:rFonts w:ascii="Arial" w:hAnsi="Arial" w:cs="Arial"/>
                                <w:color w:val="222222"/>
                                <w:sz w:val="20"/>
                                <w:szCs w:val="20"/>
                              </w:rPr>
                              <w:t>Mục tiêu của V-KIST là một viện nghiên cứu ứng dụng đa ngành, định hướng công nghệ công nghiệp hoạt động theo cơ chế đặt hàng.</w:t>
                            </w:r>
                          </w:p>
                          <w:p w:rsidR="00A50899" w:rsidRPr="004D07A8" w:rsidRDefault="00A50899" w:rsidP="00A50899">
                            <w:pPr>
                              <w:pStyle w:val="NormalWeb"/>
                              <w:shd w:val="clear" w:color="auto" w:fill="FFFFFF"/>
                              <w:spacing w:before="160" w:beforeAutospacing="0" w:after="60" w:afterAutospacing="0" w:line="293" w:lineRule="auto"/>
                              <w:jc w:val="both"/>
                              <w:textAlignment w:val="baseline"/>
                              <w:rPr>
                                <w:rFonts w:ascii="Arial" w:hAnsi="Arial" w:cs="Arial"/>
                                <w:color w:val="222222"/>
                                <w:spacing w:val="-4"/>
                                <w:sz w:val="20"/>
                                <w:szCs w:val="20"/>
                              </w:rPr>
                            </w:pPr>
                            <w:r w:rsidRPr="004D07A8">
                              <w:rPr>
                                <w:rFonts w:ascii="Arial" w:hAnsi="Arial" w:cs="Arial"/>
                                <w:color w:val="222222"/>
                                <w:spacing w:val="-4"/>
                                <w:sz w:val="20"/>
                                <w:szCs w:val="20"/>
                              </w:rPr>
                              <w:t>V-KIST sẽ có cơ sở vật chất hiện đại, đội ngũ cán bộ khoa học và kỹ sư đẳng cấp quốc tế, môi trường học thuật tiên tiến và hoạt động theo mô hình tự chủ cao. Theo đó, V-KIST sẽ được Nhà nước cho phép áp dụng cơ chế tài chính đặc thù bao gồm tự chủ về chi tiêu tài chính cũng như quản lý tài s</w:t>
                            </w:r>
                            <w:r>
                              <w:rPr>
                                <w:rFonts w:ascii="Arial" w:hAnsi="Arial" w:cs="Arial"/>
                                <w:color w:val="222222"/>
                                <w:spacing w:val="-4"/>
                                <w:sz w:val="20"/>
                                <w:szCs w:val="20"/>
                              </w:rPr>
                              <w:t>ản để đảm bảo quyền tự chủ của V</w:t>
                            </w:r>
                            <w:r w:rsidRPr="004D07A8">
                              <w:rPr>
                                <w:rFonts w:ascii="Arial" w:hAnsi="Arial" w:cs="Arial"/>
                                <w:color w:val="222222"/>
                                <w:spacing w:val="-4"/>
                                <w:sz w:val="20"/>
                                <w:szCs w:val="20"/>
                              </w:rPr>
                              <w:t>iện trong hoạt động nghiên cứu và quản lý.</w:t>
                            </w:r>
                          </w:p>
                          <w:p w:rsidR="00A50899" w:rsidRDefault="00A50899" w:rsidP="00A50899">
                            <w:pPr>
                              <w:pStyle w:val="NormalWeb"/>
                              <w:shd w:val="clear" w:color="auto" w:fill="FFFFFF"/>
                              <w:spacing w:before="160" w:beforeAutospacing="0" w:after="60" w:afterAutospacing="0" w:line="293" w:lineRule="auto"/>
                              <w:jc w:val="both"/>
                              <w:textAlignment w:val="baseline"/>
                              <w:rPr>
                                <w:rFonts w:ascii="Arial" w:hAnsi="Arial" w:cs="Arial"/>
                                <w:color w:val="222222"/>
                                <w:sz w:val="20"/>
                                <w:szCs w:val="20"/>
                              </w:rPr>
                            </w:pPr>
                            <w:r w:rsidRPr="00491A9B">
                              <w:rPr>
                                <w:rFonts w:ascii="Arial" w:hAnsi="Arial" w:cs="Arial"/>
                                <w:color w:val="222222"/>
                                <w:sz w:val="20"/>
                                <w:szCs w:val="20"/>
                              </w:rPr>
                              <w:t>Ngoài ra, để trở thành nơi tập trung đội ngũ cán bộ khoa học và kỹ sư đẳng cấp quốc tế, V-KIST cũng được áp dụng cơ chế đãi ngộ nhân sự đặc biệt để thu hút nhân tài.</w:t>
                            </w:r>
                          </w:p>
                          <w:p w:rsidR="00A50899" w:rsidRDefault="00A50899" w:rsidP="00A50899">
                            <w:pPr>
                              <w:pStyle w:val="NormalWeb"/>
                              <w:shd w:val="clear" w:color="auto" w:fill="FFFFFF"/>
                              <w:spacing w:before="160" w:beforeAutospacing="0" w:after="60" w:afterAutospacing="0" w:line="293" w:lineRule="auto"/>
                              <w:jc w:val="both"/>
                              <w:textAlignment w:val="baseline"/>
                              <w:rPr>
                                <w:rFonts w:ascii="Arial" w:hAnsi="Arial" w:cs="Arial"/>
                                <w:color w:val="222222"/>
                                <w:sz w:val="20"/>
                                <w:szCs w:val="20"/>
                              </w:rPr>
                            </w:pPr>
                            <w:r w:rsidRPr="00491A9B">
                              <w:rPr>
                                <w:rFonts w:ascii="Arial" w:hAnsi="Arial" w:cs="Arial"/>
                                <w:color w:val="222222"/>
                                <w:sz w:val="20"/>
                                <w:szCs w:val="20"/>
                              </w:rPr>
                              <w:t>Theo dự kiến, lương của một cán bộ nghiên cứu tại V-KIST sẽ có mức 1.000 USD</w:t>
                            </w:r>
                            <w:r>
                              <w:rPr>
                                <w:rFonts w:ascii="Arial" w:hAnsi="Arial" w:cs="Arial"/>
                                <w:color w:val="222222"/>
                                <w:sz w:val="20"/>
                                <w:szCs w:val="20"/>
                              </w:rPr>
                              <w:t>/tháng</w:t>
                            </w:r>
                            <w:r w:rsidRPr="00491A9B">
                              <w:rPr>
                                <w:rFonts w:ascii="Arial" w:hAnsi="Arial" w:cs="Arial"/>
                                <w:color w:val="222222"/>
                                <w:sz w:val="20"/>
                                <w:szCs w:val="20"/>
                              </w:rPr>
                              <w:t xml:space="preserve"> (21 triệu VND</w:t>
                            </w:r>
                            <w:r>
                              <w:rPr>
                                <w:rFonts w:ascii="Arial" w:hAnsi="Arial" w:cs="Arial"/>
                                <w:color w:val="222222"/>
                                <w:sz w:val="20"/>
                                <w:szCs w:val="20"/>
                              </w:rPr>
                              <w:t>/tháng</w:t>
                            </w:r>
                            <w:r w:rsidRPr="00491A9B">
                              <w:rPr>
                                <w:rFonts w:ascii="Arial" w:hAnsi="Arial" w:cs="Arial"/>
                                <w:color w:val="222222"/>
                                <w:sz w:val="20"/>
                                <w:szCs w:val="20"/>
                              </w:rPr>
                              <w:t>) còn lương của Chủ tịch Viện vào khoảng 6.000 USD</w:t>
                            </w:r>
                            <w:r>
                              <w:rPr>
                                <w:rFonts w:ascii="Arial" w:hAnsi="Arial" w:cs="Arial"/>
                                <w:color w:val="222222"/>
                                <w:sz w:val="20"/>
                                <w:szCs w:val="20"/>
                              </w:rPr>
                              <w:t>/tháng</w:t>
                            </w:r>
                            <w:r w:rsidRPr="00491A9B">
                              <w:rPr>
                                <w:rFonts w:ascii="Arial" w:hAnsi="Arial" w:cs="Arial"/>
                                <w:color w:val="222222"/>
                                <w:sz w:val="20"/>
                                <w:szCs w:val="20"/>
                              </w:rPr>
                              <w:t xml:space="preserve"> (120 triệu</w:t>
                            </w:r>
                            <w:r>
                              <w:rPr>
                                <w:rFonts w:ascii="Arial" w:hAnsi="Arial" w:cs="Arial"/>
                                <w:color w:val="222222"/>
                                <w:sz w:val="20"/>
                                <w:szCs w:val="20"/>
                              </w:rPr>
                              <w:t>/tháng</w:t>
                            </w:r>
                            <w:r w:rsidRPr="00491A9B">
                              <w:rPr>
                                <w:rFonts w:ascii="Arial" w:hAnsi="Arial" w:cs="Arial"/>
                                <w:color w:val="222222"/>
                                <w:sz w:val="20"/>
                                <w:szCs w:val="20"/>
                              </w:rPr>
                              <w:t>). V-KIST cũng đảm bảo rằng mức thu nh</w:t>
                            </w:r>
                            <w:r>
                              <w:rPr>
                                <w:rFonts w:ascii="Arial" w:hAnsi="Arial" w:cs="Arial"/>
                                <w:color w:val="222222"/>
                                <w:sz w:val="20"/>
                                <w:szCs w:val="20"/>
                              </w:rPr>
                              <w:t>ập hằng năm của các vị trí tại V</w:t>
                            </w:r>
                            <w:r w:rsidRPr="00491A9B">
                              <w:rPr>
                                <w:rFonts w:ascii="Arial" w:hAnsi="Arial" w:cs="Arial"/>
                                <w:color w:val="222222"/>
                                <w:sz w:val="20"/>
                                <w:szCs w:val="20"/>
                              </w:rPr>
                              <w:t>iện tương đương hoặc cao hơn mức đã từng nhận khi tham gia vào các tổ chức nghiên cứu tương tự trước đó.</w:t>
                            </w:r>
                          </w:p>
                          <w:p w:rsidR="00A50899" w:rsidRDefault="00A50899" w:rsidP="00A50899">
                            <w:pPr>
                              <w:pStyle w:val="NormalWeb"/>
                              <w:shd w:val="clear" w:color="auto" w:fill="FFFFFF"/>
                              <w:spacing w:before="160" w:beforeAutospacing="0" w:after="60" w:afterAutospacing="0" w:line="293" w:lineRule="auto"/>
                              <w:jc w:val="both"/>
                              <w:textAlignment w:val="baseline"/>
                              <w:rPr>
                                <w:rFonts w:ascii="Arial" w:hAnsi="Arial" w:cs="Arial"/>
                                <w:color w:val="222222"/>
                                <w:sz w:val="20"/>
                                <w:szCs w:val="20"/>
                              </w:rPr>
                            </w:pPr>
                            <w:r w:rsidRPr="00491A9B">
                              <w:rPr>
                                <w:rFonts w:ascii="Arial" w:hAnsi="Arial" w:cs="Arial"/>
                                <w:color w:val="222222"/>
                                <w:sz w:val="20"/>
                                <w:szCs w:val="20"/>
                              </w:rPr>
                              <w:t>Ngoài chế độ lương, các nhà khoa học tại V-KIST sẽ được tạo mọi điều kiện làm việc tốt nhất cũng như các ưu đãi khác như: bố trí phương tiện đi lại, nhà công vụ, ưu tiên mua nhà, miễn thuế khi mua phương tiện đi lại, hỗ trợ 30% kinh phí khi cho con đi học trường quốc tế, vợ/chồng được hưởng trợ cấp và hỗ trợ tìm công việc phù hợp…</w:t>
                            </w:r>
                          </w:p>
                          <w:p w:rsidR="00A50899" w:rsidRPr="00491A9B" w:rsidRDefault="00A50899" w:rsidP="00A50899">
                            <w:pPr>
                              <w:pStyle w:val="Normal2"/>
                              <w:spacing w:before="0" w:beforeAutospacing="0" w:after="0" w:afterAutospacing="0" w:line="264" w:lineRule="auto"/>
                              <w:rPr>
                                <w:rFonts w:ascii="Arial" w:hAnsi="Arial" w:cs="Arial"/>
                                <w:color w:val="333333"/>
                                <w:sz w:val="20"/>
                                <w:szCs w:val="20"/>
                              </w:rPr>
                            </w:pPr>
                          </w:p>
                          <w:p w:rsidR="00A50899" w:rsidRPr="00491A9B" w:rsidRDefault="00A50899" w:rsidP="00A50899">
                            <w:pPr>
                              <w:spacing w:line="264"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A15C5" id="_x0000_t202" coordsize="21600,21600" o:spt="202" path="m,l,21600r21600,l21600,xe">
                <v:stroke joinstyle="miter"/>
                <v:path gradientshapeok="t" o:connecttype="rect"/>
              </v:shapetype>
              <v:shape id="Text Box 31" o:spid="_x0000_s1026" type="#_x0000_t202" style="position:absolute;left:0;text-align:left;margin-left:0;margin-top:13.1pt;width:355.35pt;height:371.8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">
                <v:textbox>
                  <w:txbxContent>
                    <w:p w:rsidR="00A50899" w:rsidRPr="00EE453B" w:rsidRDefault="00A50899" w:rsidP="00A50899">
                      <w:pPr>
                        <w:pStyle w:val="Normal2"/>
                        <w:spacing w:before="240" w:beforeAutospacing="0" w:after="0" w:afterAutospacing="0" w:line="264" w:lineRule="auto"/>
                        <w:jc w:val="center"/>
                        <w:rPr>
                          <w:rFonts w:ascii="Arial" w:hAnsi="Arial" w:cs="Arial"/>
                          <w:b/>
                          <w:color w:val="0070C0"/>
                          <w:sz w:val="20"/>
                          <w:szCs w:val="20"/>
                        </w:rPr>
                      </w:pPr>
                      <w:r w:rsidRPr="00EE453B">
                        <w:rPr>
                          <w:rFonts w:ascii="Arial" w:hAnsi="Arial" w:cs="Arial"/>
                          <w:b/>
                          <w:color w:val="0070C0"/>
                          <w:sz w:val="20"/>
                          <w:szCs w:val="20"/>
                        </w:rPr>
                        <w:t>Khung 1. Viện Khoa học và Công nghệ Việt Nam - Hàn Quốc (V-KIST)</w:t>
                      </w:r>
                    </w:p>
                    <w:p w:rsidR="00A50899" w:rsidRDefault="00A50899" w:rsidP="00A50899">
                      <w:pPr>
                        <w:pStyle w:val="NormalWeb"/>
                        <w:shd w:val="clear" w:color="auto" w:fill="FFFFFF"/>
                        <w:spacing w:before="0" w:beforeAutospacing="0" w:after="0" w:afterAutospacing="0" w:line="264" w:lineRule="auto"/>
                        <w:jc w:val="both"/>
                        <w:textAlignment w:val="baseline"/>
                        <w:rPr>
                          <w:rFonts w:ascii="Arial" w:hAnsi="Arial" w:cs="Arial"/>
                          <w:color w:val="222222"/>
                          <w:sz w:val="20"/>
                          <w:szCs w:val="20"/>
                        </w:rPr>
                      </w:pPr>
                    </w:p>
                    <w:p w:rsidR="00A50899" w:rsidRPr="00491A9B" w:rsidRDefault="00A50899" w:rsidP="00A50899">
                      <w:pPr>
                        <w:pStyle w:val="NormalWeb"/>
                        <w:shd w:val="clear" w:color="auto" w:fill="FFFFFF"/>
                        <w:spacing w:before="0" w:beforeAutospacing="0" w:after="60" w:afterAutospacing="0" w:line="293" w:lineRule="auto"/>
                        <w:jc w:val="both"/>
                        <w:textAlignment w:val="baseline"/>
                        <w:rPr>
                          <w:rFonts w:ascii="Arial" w:hAnsi="Arial" w:cs="Arial"/>
                          <w:color w:val="222222"/>
                          <w:sz w:val="20"/>
                          <w:szCs w:val="20"/>
                        </w:rPr>
                      </w:pPr>
                      <w:r w:rsidRPr="00491A9B">
                        <w:rPr>
                          <w:rFonts w:ascii="Arial" w:hAnsi="Arial" w:cs="Arial"/>
                          <w:color w:val="222222"/>
                          <w:sz w:val="20"/>
                          <w:szCs w:val="20"/>
                        </w:rPr>
                        <w:t>Mục tiêu của V-KIST là một viện nghiên cứu ứng dụng đa ngành, định hướng công nghệ công nghiệp hoạt động theo cơ chế đặt hàng.</w:t>
                      </w:r>
                    </w:p>
                    <w:p w:rsidR="00A50899" w:rsidRPr="004D07A8" w:rsidRDefault="00A50899" w:rsidP="00A50899">
                      <w:pPr>
                        <w:pStyle w:val="NormalWeb"/>
                        <w:shd w:val="clear" w:color="auto" w:fill="FFFFFF"/>
                        <w:spacing w:before="160" w:beforeAutospacing="0" w:after="60" w:afterAutospacing="0" w:line="293" w:lineRule="auto"/>
                        <w:jc w:val="both"/>
                        <w:textAlignment w:val="baseline"/>
                        <w:rPr>
                          <w:rFonts w:ascii="Arial" w:hAnsi="Arial" w:cs="Arial"/>
                          <w:color w:val="222222"/>
                          <w:spacing w:val="-4"/>
                          <w:sz w:val="20"/>
                          <w:szCs w:val="20"/>
                        </w:rPr>
                      </w:pPr>
                      <w:r w:rsidRPr="004D07A8">
                        <w:rPr>
                          <w:rFonts w:ascii="Arial" w:hAnsi="Arial" w:cs="Arial"/>
                          <w:color w:val="222222"/>
                          <w:spacing w:val="-4"/>
                          <w:sz w:val="20"/>
                          <w:szCs w:val="20"/>
                        </w:rPr>
                        <w:t>V-KIST sẽ có cơ sở vật chất hiện đại, đội ngũ cán bộ khoa học và kỹ sư đẳng cấp quốc tế, môi trường học thuật tiên tiến và hoạt động theo mô hình tự chủ cao. Theo đó, V-KIST sẽ được Nhà nước cho phép áp dụng cơ chế tài chính đặc thù bao gồm tự chủ về chi tiêu tài chính cũng như quản lý tài s</w:t>
                      </w:r>
                      <w:r>
                        <w:rPr>
                          <w:rFonts w:ascii="Arial" w:hAnsi="Arial" w:cs="Arial"/>
                          <w:color w:val="222222"/>
                          <w:spacing w:val="-4"/>
                          <w:sz w:val="20"/>
                          <w:szCs w:val="20"/>
                        </w:rPr>
                        <w:t>ản để đảm bảo quyền tự chủ của V</w:t>
                      </w:r>
                      <w:r w:rsidRPr="004D07A8">
                        <w:rPr>
                          <w:rFonts w:ascii="Arial" w:hAnsi="Arial" w:cs="Arial"/>
                          <w:color w:val="222222"/>
                          <w:spacing w:val="-4"/>
                          <w:sz w:val="20"/>
                          <w:szCs w:val="20"/>
                        </w:rPr>
                        <w:t>iện trong hoạt động nghiên cứu và quản lý.</w:t>
                      </w:r>
                    </w:p>
                    <w:p w:rsidR="00A50899" w:rsidRDefault="00A50899" w:rsidP="00A50899">
                      <w:pPr>
                        <w:pStyle w:val="NormalWeb"/>
                        <w:shd w:val="clear" w:color="auto" w:fill="FFFFFF"/>
                        <w:spacing w:before="160" w:beforeAutospacing="0" w:after="60" w:afterAutospacing="0" w:line="293" w:lineRule="auto"/>
                        <w:jc w:val="both"/>
                        <w:textAlignment w:val="baseline"/>
                        <w:rPr>
                          <w:rFonts w:ascii="Arial" w:hAnsi="Arial" w:cs="Arial"/>
                          <w:color w:val="222222"/>
                          <w:sz w:val="20"/>
                          <w:szCs w:val="20"/>
                        </w:rPr>
                      </w:pPr>
                      <w:r w:rsidRPr="00491A9B">
                        <w:rPr>
                          <w:rFonts w:ascii="Arial" w:hAnsi="Arial" w:cs="Arial"/>
                          <w:color w:val="222222"/>
                          <w:sz w:val="20"/>
                          <w:szCs w:val="20"/>
                        </w:rPr>
                        <w:t>Ngoài ra, để trở thành nơi tập trung đội ngũ cán bộ khoa học và kỹ sư đẳng cấp quốc tế, V-KIST cũng được áp dụng cơ chế đãi ngộ nhân sự đặc biệt để thu hút nhân tài.</w:t>
                      </w:r>
                    </w:p>
                    <w:p w:rsidR="00A50899" w:rsidRDefault="00A50899" w:rsidP="00A50899">
                      <w:pPr>
                        <w:pStyle w:val="NormalWeb"/>
                        <w:shd w:val="clear" w:color="auto" w:fill="FFFFFF"/>
                        <w:spacing w:before="160" w:beforeAutospacing="0" w:after="60" w:afterAutospacing="0" w:line="293" w:lineRule="auto"/>
                        <w:jc w:val="both"/>
                        <w:textAlignment w:val="baseline"/>
                        <w:rPr>
                          <w:rFonts w:ascii="Arial" w:hAnsi="Arial" w:cs="Arial"/>
                          <w:color w:val="222222"/>
                          <w:sz w:val="20"/>
                          <w:szCs w:val="20"/>
                        </w:rPr>
                      </w:pPr>
                      <w:r w:rsidRPr="00491A9B">
                        <w:rPr>
                          <w:rFonts w:ascii="Arial" w:hAnsi="Arial" w:cs="Arial"/>
                          <w:color w:val="222222"/>
                          <w:sz w:val="20"/>
                          <w:szCs w:val="20"/>
                        </w:rPr>
                        <w:t>Theo dự kiến, lương của một cán bộ nghiên cứu tại V-KIST sẽ có mức 1.000 USD</w:t>
                      </w:r>
                      <w:r>
                        <w:rPr>
                          <w:rFonts w:ascii="Arial" w:hAnsi="Arial" w:cs="Arial"/>
                          <w:color w:val="222222"/>
                          <w:sz w:val="20"/>
                          <w:szCs w:val="20"/>
                        </w:rPr>
                        <w:t>/tháng</w:t>
                      </w:r>
                      <w:r w:rsidRPr="00491A9B">
                        <w:rPr>
                          <w:rFonts w:ascii="Arial" w:hAnsi="Arial" w:cs="Arial"/>
                          <w:color w:val="222222"/>
                          <w:sz w:val="20"/>
                          <w:szCs w:val="20"/>
                        </w:rPr>
                        <w:t xml:space="preserve"> (21 triệu VND</w:t>
                      </w:r>
                      <w:r>
                        <w:rPr>
                          <w:rFonts w:ascii="Arial" w:hAnsi="Arial" w:cs="Arial"/>
                          <w:color w:val="222222"/>
                          <w:sz w:val="20"/>
                          <w:szCs w:val="20"/>
                        </w:rPr>
                        <w:t>/tháng</w:t>
                      </w:r>
                      <w:r w:rsidRPr="00491A9B">
                        <w:rPr>
                          <w:rFonts w:ascii="Arial" w:hAnsi="Arial" w:cs="Arial"/>
                          <w:color w:val="222222"/>
                          <w:sz w:val="20"/>
                          <w:szCs w:val="20"/>
                        </w:rPr>
                        <w:t>) còn lương của Chủ tịch Viện vào khoảng 6.000 USD</w:t>
                      </w:r>
                      <w:r>
                        <w:rPr>
                          <w:rFonts w:ascii="Arial" w:hAnsi="Arial" w:cs="Arial"/>
                          <w:color w:val="222222"/>
                          <w:sz w:val="20"/>
                          <w:szCs w:val="20"/>
                        </w:rPr>
                        <w:t>/tháng</w:t>
                      </w:r>
                      <w:r w:rsidRPr="00491A9B">
                        <w:rPr>
                          <w:rFonts w:ascii="Arial" w:hAnsi="Arial" w:cs="Arial"/>
                          <w:color w:val="222222"/>
                          <w:sz w:val="20"/>
                          <w:szCs w:val="20"/>
                        </w:rPr>
                        <w:t xml:space="preserve"> (120 triệu</w:t>
                      </w:r>
                      <w:r>
                        <w:rPr>
                          <w:rFonts w:ascii="Arial" w:hAnsi="Arial" w:cs="Arial"/>
                          <w:color w:val="222222"/>
                          <w:sz w:val="20"/>
                          <w:szCs w:val="20"/>
                        </w:rPr>
                        <w:t>/tháng</w:t>
                      </w:r>
                      <w:r w:rsidRPr="00491A9B">
                        <w:rPr>
                          <w:rFonts w:ascii="Arial" w:hAnsi="Arial" w:cs="Arial"/>
                          <w:color w:val="222222"/>
                          <w:sz w:val="20"/>
                          <w:szCs w:val="20"/>
                        </w:rPr>
                        <w:t>). V-KIST cũng đảm bảo rằng mức thu nh</w:t>
                      </w:r>
                      <w:r>
                        <w:rPr>
                          <w:rFonts w:ascii="Arial" w:hAnsi="Arial" w:cs="Arial"/>
                          <w:color w:val="222222"/>
                          <w:sz w:val="20"/>
                          <w:szCs w:val="20"/>
                        </w:rPr>
                        <w:t>ập hằng năm của các vị trí tại V</w:t>
                      </w:r>
                      <w:r w:rsidRPr="00491A9B">
                        <w:rPr>
                          <w:rFonts w:ascii="Arial" w:hAnsi="Arial" w:cs="Arial"/>
                          <w:color w:val="222222"/>
                          <w:sz w:val="20"/>
                          <w:szCs w:val="20"/>
                        </w:rPr>
                        <w:t>iện tương đương hoặc cao hơn mức đã từng nhận khi tham gia vào các tổ chức nghiên cứu tương tự trước đó.</w:t>
                      </w:r>
                    </w:p>
                    <w:p w:rsidR="00A50899" w:rsidRDefault="00A50899" w:rsidP="00A50899">
                      <w:pPr>
                        <w:pStyle w:val="NormalWeb"/>
                        <w:shd w:val="clear" w:color="auto" w:fill="FFFFFF"/>
                        <w:spacing w:before="160" w:beforeAutospacing="0" w:after="60" w:afterAutospacing="0" w:line="293" w:lineRule="auto"/>
                        <w:jc w:val="both"/>
                        <w:textAlignment w:val="baseline"/>
                        <w:rPr>
                          <w:rFonts w:ascii="Arial" w:hAnsi="Arial" w:cs="Arial"/>
                          <w:color w:val="222222"/>
                          <w:sz w:val="20"/>
                          <w:szCs w:val="20"/>
                        </w:rPr>
                      </w:pPr>
                      <w:r w:rsidRPr="00491A9B">
                        <w:rPr>
                          <w:rFonts w:ascii="Arial" w:hAnsi="Arial" w:cs="Arial"/>
                          <w:color w:val="222222"/>
                          <w:sz w:val="20"/>
                          <w:szCs w:val="20"/>
                        </w:rPr>
                        <w:t>Ngoài chế độ lương, các nhà khoa học tại V-KIST sẽ được tạo mọi điều kiện làm việc tốt nhất cũng như các ưu đãi khác như: bố trí phương tiện đi lại, nhà công vụ, ưu tiên mua nhà, miễn thuế khi mua phương tiện đi lại, hỗ trợ 30% kinh phí khi cho con đi học trường quốc tế, vợ/chồng được hưởng trợ cấp và hỗ trợ tìm công việc phù hợp…</w:t>
                      </w:r>
                    </w:p>
                    <w:p w:rsidR="00A50899" w:rsidRPr="00491A9B" w:rsidRDefault="00A50899" w:rsidP="00A50899">
                      <w:pPr>
                        <w:pStyle w:val="Normal2"/>
                        <w:spacing w:before="0" w:beforeAutospacing="0" w:after="0" w:afterAutospacing="0" w:line="264" w:lineRule="auto"/>
                        <w:rPr>
                          <w:rFonts w:ascii="Arial" w:hAnsi="Arial" w:cs="Arial"/>
                          <w:color w:val="333333"/>
                          <w:sz w:val="20"/>
                          <w:szCs w:val="20"/>
                        </w:rPr>
                      </w:pPr>
                    </w:p>
                    <w:p w:rsidR="00A50899" w:rsidRPr="00491A9B" w:rsidRDefault="00A50899" w:rsidP="00A50899">
                      <w:pPr>
                        <w:spacing w:line="264" w:lineRule="auto"/>
                        <w:rPr>
                          <w:sz w:val="20"/>
                          <w:szCs w:val="20"/>
                        </w:rPr>
                      </w:pPr>
                    </w:p>
                  </w:txbxContent>
                </v:textbox>
                <w10:wrap anchorx="margin"/>
              </v:shape>
            </w:pict>
          </mc:Fallback>
        </mc:AlternateContent>
      </w:r>
    </w:p>
    <w:p w:rsidR="00A50899" w:rsidRDefault="00A50899" w:rsidP="00A50899">
      <w:pPr>
        <w:pStyle w:val="bodyA0"/>
        <w:rPr>
          <w:spacing w:val="-6"/>
        </w:rPr>
      </w:pPr>
    </w:p>
    <w:p w:rsidR="00A50899" w:rsidRPr="00DD64B8" w:rsidRDefault="00A50899" w:rsidP="00A50899">
      <w:pPr>
        <w:pStyle w:val="111khcnvn"/>
        <w:spacing w:before="20"/>
        <w:rPr>
          <w:rStyle w:val="Hyperlink"/>
          <w:b w:val="0"/>
        </w:rPr>
      </w:pPr>
      <w:bookmarkStart w:id="10" w:name="_Toc451518361"/>
      <w:r>
        <w:br w:type="page"/>
      </w:r>
      <w:r>
        <w:lastRenderedPageBreak/>
        <w:t>1</w:t>
      </w:r>
      <w:r w:rsidRPr="00DD64B8">
        <w:t xml:space="preserve">.1.2. </w:t>
      </w:r>
      <w:r>
        <w:t xml:space="preserve">Cơ sở đào tạo đại học </w:t>
      </w:r>
      <w:bookmarkEnd w:id="10"/>
    </w:p>
    <w:p w:rsidR="00A50899" w:rsidRDefault="00A50899" w:rsidP="00A50899">
      <w:pPr>
        <w:pStyle w:val="bodyA0"/>
        <w:spacing w:before="40"/>
      </w:pPr>
      <w:r>
        <w:t>Các cơ sở đào tạo đại học được tổ</w:t>
      </w:r>
      <w:r w:rsidRPr="00874A77">
        <w:t xml:space="preserve"> chức dưới hình thức </w:t>
      </w:r>
      <w:r>
        <w:t>đ</w:t>
      </w:r>
      <w:r w:rsidRPr="00F94C76">
        <w:t>ại học, trường đại học, học viện và cao đẳng</w:t>
      </w:r>
      <w:r>
        <w:t xml:space="preserve">. Cùng với đào tạo, nghiên cứu khoa học và công nghệ là một trong hai nhiệm vụ chính của các tổ chức giáo dục đại học. </w:t>
      </w:r>
    </w:p>
    <w:p w:rsidR="00A50899" w:rsidRDefault="00A50899" w:rsidP="00A50899">
      <w:pPr>
        <w:pStyle w:val="bodyA0"/>
        <w:rPr>
          <w:b/>
          <w:i/>
        </w:rPr>
      </w:pPr>
      <w:r>
        <w:t xml:space="preserve">Theo lĩnh vực hoạt động KH&amp;CN, từ kết quả Điều tra tiềm lực KH&amp;CN 2014 cho thấy, gần một nửa (46,6%) số cơ sở giáo dục đại học hoạt động trong lĩnh vực KHXH&amp;NV, số cơ sở thuộc lĩnh vực khoa học kỹ thuật và công nghệ chiếm khoảng 31%, lĩnh vực khoa học y, dược có 9,4%, lĩnh vực khoa học tự nhiên có 7,7%, trong khi đó số cơ sở thuộc lĩnh nông nghiệp chỉ có 5,3% (Bảng </w:t>
      </w:r>
      <w:r>
        <w:rPr>
          <w:lang w:val="en-US"/>
        </w:rPr>
        <w:t>1</w:t>
      </w:r>
      <w:r>
        <w:t xml:space="preserve">.3, Hình </w:t>
      </w:r>
      <w:r>
        <w:rPr>
          <w:lang w:val="en-US"/>
        </w:rPr>
        <w:t>1</w:t>
      </w:r>
      <w:r>
        <w:t>.4).</w:t>
      </w:r>
    </w:p>
    <w:p w:rsidR="00A50899" w:rsidRPr="00DA3694" w:rsidRDefault="00A50899" w:rsidP="00A50899">
      <w:pPr>
        <w:pStyle w:val="khcnvnTenBang"/>
        <w:spacing w:before="140"/>
        <w:rPr>
          <w:rFonts w:cs="Arial"/>
          <w:b/>
          <w:i/>
        </w:rPr>
      </w:pPr>
      <w:bookmarkStart w:id="11" w:name="_Toc453342460"/>
      <w:r w:rsidRPr="003B4CC1">
        <w:rPr>
          <w:b/>
          <w:i/>
        </w:rPr>
        <w:t xml:space="preserve">Bảng </w:t>
      </w:r>
      <w:r>
        <w:rPr>
          <w:b/>
          <w:i/>
        </w:rPr>
        <w:t>1</w:t>
      </w:r>
      <w:r w:rsidRPr="003B4CC1">
        <w:rPr>
          <w:b/>
          <w:i/>
        </w:rPr>
        <w:t>.3.</w:t>
      </w:r>
      <w:r w:rsidRPr="003B4CC1">
        <w:t xml:space="preserve"> </w:t>
      </w:r>
      <w:r>
        <w:t>C</w:t>
      </w:r>
      <w:r w:rsidRPr="003B4CC1">
        <w:t xml:space="preserve">ơ sở giáo dục đại học chia theo lĩnh vực </w:t>
      </w:r>
      <w:bookmarkEnd w:id="11"/>
      <w:r>
        <w:t>KH&amp;CN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3"/>
        <w:gridCol w:w="1364"/>
        <w:gridCol w:w="1395"/>
      </w:tblGrid>
      <w:tr w:rsidR="00A50899" w:rsidRPr="00AC2E07" w:rsidTr="00A324B6">
        <w:trPr>
          <w:trHeight w:val="20"/>
          <w:jc w:val="center"/>
        </w:trPr>
        <w:tc>
          <w:tcPr>
            <w:tcW w:w="4303" w:type="dxa"/>
            <w:shd w:val="clear" w:color="auto" w:fill="66CCFF"/>
          </w:tcPr>
          <w:p w:rsidR="00A50899" w:rsidRPr="007E1313" w:rsidRDefault="00A50899" w:rsidP="00A324B6">
            <w:pPr>
              <w:widowControl w:val="0"/>
              <w:autoSpaceDE w:val="0"/>
              <w:autoSpaceDN w:val="0"/>
              <w:adjustRightInd w:val="0"/>
              <w:spacing w:before="40" w:after="20"/>
              <w:jc w:val="center"/>
              <w:rPr>
                <w:rFonts w:ascii="Arial" w:hAnsi="Arial" w:cs="Arial"/>
                <w:b/>
                <w:sz w:val="20"/>
                <w:szCs w:val="20"/>
              </w:rPr>
            </w:pPr>
            <w:r w:rsidRPr="007E1313">
              <w:rPr>
                <w:rFonts w:ascii="Arial" w:hAnsi="Arial" w:cs="Arial"/>
                <w:b/>
                <w:bCs/>
                <w:iCs/>
                <w:sz w:val="20"/>
                <w:szCs w:val="20"/>
              </w:rPr>
              <w:t>Lĩnh vực</w:t>
            </w:r>
          </w:p>
        </w:tc>
        <w:tc>
          <w:tcPr>
            <w:tcW w:w="1364" w:type="dxa"/>
            <w:shd w:val="clear" w:color="auto" w:fill="66CCFF"/>
          </w:tcPr>
          <w:p w:rsidR="00A50899" w:rsidRPr="007E1313" w:rsidRDefault="00A50899" w:rsidP="00A324B6">
            <w:pPr>
              <w:widowControl w:val="0"/>
              <w:autoSpaceDE w:val="0"/>
              <w:autoSpaceDN w:val="0"/>
              <w:adjustRightInd w:val="0"/>
              <w:spacing w:before="40" w:after="20"/>
              <w:jc w:val="center"/>
              <w:rPr>
                <w:rFonts w:ascii="Arial" w:hAnsi="Arial" w:cs="Arial"/>
                <w:b/>
                <w:sz w:val="20"/>
                <w:szCs w:val="20"/>
              </w:rPr>
            </w:pPr>
            <w:r w:rsidRPr="007E1313">
              <w:rPr>
                <w:rFonts w:ascii="Arial" w:hAnsi="Arial" w:cs="Arial"/>
                <w:b/>
                <w:sz w:val="20"/>
                <w:szCs w:val="20"/>
              </w:rPr>
              <w:t>Số tổ chức</w:t>
            </w:r>
          </w:p>
        </w:tc>
        <w:tc>
          <w:tcPr>
            <w:tcW w:w="1395" w:type="dxa"/>
            <w:shd w:val="clear" w:color="auto" w:fill="66CCFF"/>
          </w:tcPr>
          <w:p w:rsidR="00A50899" w:rsidRPr="007E1313" w:rsidRDefault="00A50899" w:rsidP="00A324B6">
            <w:pPr>
              <w:widowControl w:val="0"/>
              <w:autoSpaceDE w:val="0"/>
              <w:autoSpaceDN w:val="0"/>
              <w:adjustRightInd w:val="0"/>
              <w:spacing w:before="40" w:after="20"/>
              <w:jc w:val="center"/>
              <w:rPr>
                <w:rFonts w:ascii="Arial" w:hAnsi="Arial" w:cs="Arial"/>
                <w:b/>
                <w:bCs/>
                <w:iCs/>
                <w:sz w:val="20"/>
                <w:szCs w:val="20"/>
              </w:rPr>
            </w:pPr>
            <w:r w:rsidRPr="007E1313">
              <w:rPr>
                <w:rFonts w:ascii="Arial" w:hAnsi="Arial" w:cs="Arial"/>
                <w:b/>
                <w:bCs/>
                <w:iCs/>
                <w:sz w:val="20"/>
                <w:szCs w:val="20"/>
              </w:rPr>
              <w:t>Tỷ lệ</w:t>
            </w:r>
            <w:r>
              <w:rPr>
                <w:rFonts w:ascii="Arial" w:hAnsi="Arial" w:cs="Arial"/>
                <w:b/>
                <w:bCs/>
                <w:iCs/>
                <w:sz w:val="20"/>
                <w:szCs w:val="20"/>
              </w:rPr>
              <w:t xml:space="preserve"> (%)</w:t>
            </w:r>
          </w:p>
        </w:tc>
      </w:tr>
      <w:tr w:rsidR="00A50899" w:rsidRPr="00AC2E07" w:rsidTr="00A324B6">
        <w:trPr>
          <w:trHeight w:val="20"/>
          <w:jc w:val="center"/>
        </w:trPr>
        <w:tc>
          <w:tcPr>
            <w:tcW w:w="4303" w:type="dxa"/>
            <w:shd w:val="clear" w:color="auto" w:fill="auto"/>
          </w:tcPr>
          <w:p w:rsidR="00A50899" w:rsidRPr="007E1313" w:rsidRDefault="00A50899" w:rsidP="00A324B6">
            <w:pPr>
              <w:widowControl w:val="0"/>
              <w:autoSpaceDE w:val="0"/>
              <w:autoSpaceDN w:val="0"/>
              <w:adjustRightInd w:val="0"/>
              <w:spacing w:before="40" w:after="20"/>
              <w:ind w:left="289" w:hanging="289"/>
              <w:rPr>
                <w:rFonts w:ascii="Arial" w:hAnsi="Arial" w:cs="Arial"/>
                <w:sz w:val="20"/>
                <w:szCs w:val="20"/>
              </w:rPr>
            </w:pPr>
            <w:r w:rsidRPr="007E1313">
              <w:rPr>
                <w:rFonts w:ascii="Arial" w:hAnsi="Arial" w:cs="Arial"/>
                <w:sz w:val="20"/>
                <w:szCs w:val="20"/>
              </w:rPr>
              <w:t>1. Khoa học tự nhiên</w:t>
            </w:r>
          </w:p>
        </w:tc>
        <w:tc>
          <w:tcPr>
            <w:tcW w:w="1364" w:type="dxa"/>
            <w:shd w:val="clear" w:color="auto" w:fill="auto"/>
          </w:tcPr>
          <w:p w:rsidR="00A50899" w:rsidRPr="007E1313" w:rsidRDefault="00A50899" w:rsidP="00A324B6">
            <w:pPr>
              <w:widowControl w:val="0"/>
              <w:autoSpaceDE w:val="0"/>
              <w:autoSpaceDN w:val="0"/>
              <w:adjustRightInd w:val="0"/>
              <w:spacing w:before="40" w:after="20"/>
              <w:ind w:right="454"/>
              <w:jc w:val="right"/>
              <w:rPr>
                <w:rFonts w:ascii="Arial" w:hAnsi="Arial" w:cs="Arial"/>
                <w:sz w:val="20"/>
                <w:szCs w:val="20"/>
              </w:rPr>
            </w:pPr>
            <w:r w:rsidRPr="007E1313">
              <w:rPr>
                <w:rFonts w:ascii="Arial" w:hAnsi="Arial" w:cs="Arial"/>
                <w:sz w:val="20"/>
                <w:szCs w:val="20"/>
              </w:rPr>
              <w:t>26</w:t>
            </w:r>
          </w:p>
        </w:tc>
        <w:tc>
          <w:tcPr>
            <w:tcW w:w="1395" w:type="dxa"/>
            <w:shd w:val="clear" w:color="auto" w:fill="auto"/>
          </w:tcPr>
          <w:p w:rsidR="00A50899" w:rsidRPr="007E1313" w:rsidRDefault="00A50899" w:rsidP="00A324B6">
            <w:pPr>
              <w:widowControl w:val="0"/>
              <w:autoSpaceDE w:val="0"/>
              <w:autoSpaceDN w:val="0"/>
              <w:adjustRightInd w:val="0"/>
              <w:spacing w:before="40" w:after="20"/>
              <w:ind w:right="454"/>
              <w:jc w:val="right"/>
              <w:rPr>
                <w:rFonts w:ascii="Arial" w:hAnsi="Arial" w:cs="Arial"/>
                <w:sz w:val="20"/>
                <w:szCs w:val="20"/>
              </w:rPr>
            </w:pPr>
            <w:r w:rsidRPr="007E1313">
              <w:rPr>
                <w:rFonts w:ascii="Arial" w:hAnsi="Arial" w:cs="Arial"/>
                <w:sz w:val="20"/>
                <w:szCs w:val="20"/>
              </w:rPr>
              <w:t>7,7</w:t>
            </w:r>
          </w:p>
        </w:tc>
      </w:tr>
      <w:tr w:rsidR="00A50899" w:rsidRPr="00AC2E07" w:rsidTr="00A324B6">
        <w:trPr>
          <w:trHeight w:val="20"/>
          <w:jc w:val="center"/>
        </w:trPr>
        <w:tc>
          <w:tcPr>
            <w:tcW w:w="4303" w:type="dxa"/>
            <w:shd w:val="clear" w:color="auto" w:fill="auto"/>
          </w:tcPr>
          <w:p w:rsidR="00A50899" w:rsidRPr="007E1313" w:rsidRDefault="00A50899" w:rsidP="00A324B6">
            <w:pPr>
              <w:widowControl w:val="0"/>
              <w:autoSpaceDE w:val="0"/>
              <w:autoSpaceDN w:val="0"/>
              <w:adjustRightInd w:val="0"/>
              <w:spacing w:before="40" w:after="20"/>
              <w:ind w:left="289" w:hanging="289"/>
              <w:rPr>
                <w:rFonts w:ascii="Arial" w:hAnsi="Arial" w:cs="Arial"/>
                <w:sz w:val="20"/>
                <w:szCs w:val="20"/>
              </w:rPr>
            </w:pPr>
            <w:r w:rsidRPr="007E1313">
              <w:rPr>
                <w:rFonts w:ascii="Arial" w:hAnsi="Arial" w:cs="Arial"/>
                <w:sz w:val="20"/>
                <w:szCs w:val="20"/>
              </w:rPr>
              <w:t>2. Khoa học kỹ thuật và công nghệ</w:t>
            </w:r>
          </w:p>
        </w:tc>
        <w:tc>
          <w:tcPr>
            <w:tcW w:w="1364" w:type="dxa"/>
            <w:shd w:val="clear" w:color="auto" w:fill="auto"/>
          </w:tcPr>
          <w:p w:rsidR="00A50899" w:rsidRPr="007E1313" w:rsidRDefault="00A50899" w:rsidP="00A324B6">
            <w:pPr>
              <w:widowControl w:val="0"/>
              <w:autoSpaceDE w:val="0"/>
              <w:autoSpaceDN w:val="0"/>
              <w:adjustRightInd w:val="0"/>
              <w:spacing w:before="40" w:after="20"/>
              <w:ind w:right="454"/>
              <w:jc w:val="right"/>
              <w:rPr>
                <w:rFonts w:ascii="Arial" w:hAnsi="Arial" w:cs="Arial"/>
                <w:sz w:val="20"/>
                <w:szCs w:val="20"/>
              </w:rPr>
            </w:pPr>
            <w:r w:rsidRPr="007E1313">
              <w:rPr>
                <w:rFonts w:ascii="Arial" w:hAnsi="Arial" w:cs="Arial"/>
                <w:sz w:val="20"/>
                <w:szCs w:val="20"/>
              </w:rPr>
              <w:t>105</w:t>
            </w:r>
          </w:p>
        </w:tc>
        <w:tc>
          <w:tcPr>
            <w:tcW w:w="1395" w:type="dxa"/>
            <w:shd w:val="clear" w:color="auto" w:fill="auto"/>
          </w:tcPr>
          <w:p w:rsidR="00A50899" w:rsidRPr="007E1313" w:rsidRDefault="00A50899" w:rsidP="00A324B6">
            <w:pPr>
              <w:widowControl w:val="0"/>
              <w:autoSpaceDE w:val="0"/>
              <w:autoSpaceDN w:val="0"/>
              <w:adjustRightInd w:val="0"/>
              <w:spacing w:before="40" w:after="20"/>
              <w:ind w:right="454"/>
              <w:jc w:val="right"/>
              <w:rPr>
                <w:rFonts w:ascii="Arial" w:hAnsi="Arial" w:cs="Arial"/>
                <w:sz w:val="20"/>
                <w:szCs w:val="20"/>
              </w:rPr>
            </w:pPr>
            <w:r w:rsidRPr="007E1313">
              <w:rPr>
                <w:rFonts w:ascii="Arial" w:hAnsi="Arial" w:cs="Arial"/>
                <w:sz w:val="20"/>
                <w:szCs w:val="20"/>
              </w:rPr>
              <w:t>3</w:t>
            </w:r>
            <w:r>
              <w:rPr>
                <w:rFonts w:ascii="Arial" w:hAnsi="Arial" w:cs="Arial"/>
                <w:sz w:val="20"/>
                <w:szCs w:val="20"/>
              </w:rPr>
              <w:t>1,0</w:t>
            </w:r>
          </w:p>
        </w:tc>
      </w:tr>
      <w:tr w:rsidR="00A50899" w:rsidRPr="00AC2E07" w:rsidTr="00A324B6">
        <w:trPr>
          <w:trHeight w:val="20"/>
          <w:jc w:val="center"/>
        </w:trPr>
        <w:tc>
          <w:tcPr>
            <w:tcW w:w="4303" w:type="dxa"/>
            <w:shd w:val="clear" w:color="auto" w:fill="auto"/>
          </w:tcPr>
          <w:p w:rsidR="00A50899" w:rsidRPr="007E1313" w:rsidRDefault="00A50899" w:rsidP="00A324B6">
            <w:pPr>
              <w:widowControl w:val="0"/>
              <w:autoSpaceDE w:val="0"/>
              <w:autoSpaceDN w:val="0"/>
              <w:adjustRightInd w:val="0"/>
              <w:spacing w:before="40" w:after="20"/>
              <w:ind w:left="289" w:hanging="289"/>
              <w:rPr>
                <w:rFonts w:ascii="Arial" w:hAnsi="Arial" w:cs="Arial"/>
                <w:sz w:val="20"/>
                <w:szCs w:val="20"/>
              </w:rPr>
            </w:pPr>
            <w:r w:rsidRPr="007E1313">
              <w:rPr>
                <w:rFonts w:ascii="Arial" w:hAnsi="Arial" w:cs="Arial"/>
                <w:sz w:val="20"/>
                <w:szCs w:val="20"/>
              </w:rPr>
              <w:t>3. Khoa học y</w:t>
            </w:r>
            <w:r>
              <w:rPr>
                <w:rFonts w:ascii="Arial" w:hAnsi="Arial" w:cs="Arial"/>
                <w:sz w:val="20"/>
                <w:szCs w:val="20"/>
              </w:rPr>
              <w:t>,</w:t>
            </w:r>
            <w:r w:rsidRPr="007E1313">
              <w:rPr>
                <w:rFonts w:ascii="Arial" w:hAnsi="Arial" w:cs="Arial"/>
                <w:sz w:val="20"/>
                <w:szCs w:val="20"/>
              </w:rPr>
              <w:t xml:space="preserve"> dược</w:t>
            </w:r>
          </w:p>
        </w:tc>
        <w:tc>
          <w:tcPr>
            <w:tcW w:w="1364" w:type="dxa"/>
            <w:shd w:val="clear" w:color="auto" w:fill="auto"/>
          </w:tcPr>
          <w:p w:rsidR="00A50899" w:rsidRPr="007E1313" w:rsidRDefault="00A50899" w:rsidP="00A324B6">
            <w:pPr>
              <w:widowControl w:val="0"/>
              <w:autoSpaceDE w:val="0"/>
              <w:autoSpaceDN w:val="0"/>
              <w:adjustRightInd w:val="0"/>
              <w:spacing w:before="40" w:after="20"/>
              <w:ind w:right="454"/>
              <w:jc w:val="right"/>
              <w:rPr>
                <w:rFonts w:ascii="Arial" w:hAnsi="Arial" w:cs="Arial"/>
                <w:sz w:val="20"/>
                <w:szCs w:val="20"/>
              </w:rPr>
            </w:pPr>
            <w:r w:rsidRPr="007E1313">
              <w:rPr>
                <w:rFonts w:ascii="Arial" w:hAnsi="Arial" w:cs="Arial"/>
                <w:sz w:val="20"/>
                <w:szCs w:val="20"/>
              </w:rPr>
              <w:t>32</w:t>
            </w:r>
          </w:p>
        </w:tc>
        <w:tc>
          <w:tcPr>
            <w:tcW w:w="1395" w:type="dxa"/>
            <w:shd w:val="clear" w:color="auto" w:fill="auto"/>
          </w:tcPr>
          <w:p w:rsidR="00A50899" w:rsidRPr="007E1313" w:rsidRDefault="00A50899" w:rsidP="00A324B6">
            <w:pPr>
              <w:widowControl w:val="0"/>
              <w:autoSpaceDE w:val="0"/>
              <w:autoSpaceDN w:val="0"/>
              <w:adjustRightInd w:val="0"/>
              <w:spacing w:before="40" w:after="20"/>
              <w:ind w:right="454"/>
              <w:jc w:val="right"/>
              <w:rPr>
                <w:rFonts w:ascii="Arial" w:hAnsi="Arial" w:cs="Arial"/>
                <w:sz w:val="20"/>
                <w:szCs w:val="20"/>
              </w:rPr>
            </w:pPr>
            <w:r w:rsidRPr="007E1313">
              <w:rPr>
                <w:rFonts w:ascii="Arial" w:hAnsi="Arial" w:cs="Arial"/>
                <w:sz w:val="20"/>
                <w:szCs w:val="20"/>
              </w:rPr>
              <w:t>9,4</w:t>
            </w:r>
          </w:p>
        </w:tc>
      </w:tr>
      <w:tr w:rsidR="00A50899" w:rsidRPr="00AC2E07" w:rsidTr="00A324B6">
        <w:trPr>
          <w:trHeight w:val="20"/>
          <w:jc w:val="center"/>
        </w:trPr>
        <w:tc>
          <w:tcPr>
            <w:tcW w:w="4303" w:type="dxa"/>
            <w:shd w:val="clear" w:color="auto" w:fill="auto"/>
          </w:tcPr>
          <w:p w:rsidR="00A50899" w:rsidRPr="007E1313" w:rsidRDefault="00A50899" w:rsidP="00A324B6">
            <w:pPr>
              <w:widowControl w:val="0"/>
              <w:autoSpaceDE w:val="0"/>
              <w:autoSpaceDN w:val="0"/>
              <w:adjustRightInd w:val="0"/>
              <w:spacing w:before="40" w:after="20"/>
              <w:ind w:left="289" w:hanging="289"/>
              <w:rPr>
                <w:rFonts w:ascii="Arial" w:hAnsi="Arial" w:cs="Arial"/>
                <w:sz w:val="20"/>
                <w:szCs w:val="20"/>
              </w:rPr>
            </w:pPr>
            <w:r w:rsidRPr="007E1313">
              <w:rPr>
                <w:rFonts w:ascii="Arial" w:hAnsi="Arial" w:cs="Arial"/>
                <w:sz w:val="20"/>
                <w:szCs w:val="20"/>
              </w:rPr>
              <w:t>4. Khoa học nông nghiệp</w:t>
            </w:r>
          </w:p>
        </w:tc>
        <w:tc>
          <w:tcPr>
            <w:tcW w:w="1364" w:type="dxa"/>
            <w:shd w:val="clear" w:color="auto" w:fill="auto"/>
          </w:tcPr>
          <w:p w:rsidR="00A50899" w:rsidRPr="007E1313" w:rsidRDefault="00A50899" w:rsidP="00A324B6">
            <w:pPr>
              <w:widowControl w:val="0"/>
              <w:autoSpaceDE w:val="0"/>
              <w:autoSpaceDN w:val="0"/>
              <w:adjustRightInd w:val="0"/>
              <w:spacing w:before="40" w:after="20"/>
              <w:ind w:right="454"/>
              <w:jc w:val="right"/>
              <w:rPr>
                <w:rFonts w:ascii="Arial" w:hAnsi="Arial" w:cs="Arial"/>
                <w:sz w:val="20"/>
                <w:szCs w:val="20"/>
              </w:rPr>
            </w:pPr>
            <w:r w:rsidRPr="007E1313">
              <w:rPr>
                <w:rFonts w:ascii="Arial" w:hAnsi="Arial" w:cs="Arial"/>
                <w:sz w:val="20"/>
                <w:szCs w:val="20"/>
              </w:rPr>
              <w:t>18</w:t>
            </w:r>
          </w:p>
        </w:tc>
        <w:tc>
          <w:tcPr>
            <w:tcW w:w="1395" w:type="dxa"/>
            <w:shd w:val="clear" w:color="auto" w:fill="auto"/>
          </w:tcPr>
          <w:p w:rsidR="00A50899" w:rsidRPr="007E1313" w:rsidRDefault="00A50899" w:rsidP="00A324B6">
            <w:pPr>
              <w:widowControl w:val="0"/>
              <w:autoSpaceDE w:val="0"/>
              <w:autoSpaceDN w:val="0"/>
              <w:adjustRightInd w:val="0"/>
              <w:spacing w:before="40" w:after="20"/>
              <w:ind w:right="454"/>
              <w:jc w:val="right"/>
              <w:rPr>
                <w:rFonts w:ascii="Arial" w:hAnsi="Arial" w:cs="Arial"/>
                <w:sz w:val="20"/>
                <w:szCs w:val="20"/>
              </w:rPr>
            </w:pPr>
            <w:r>
              <w:rPr>
                <w:rFonts w:ascii="Arial" w:hAnsi="Arial" w:cs="Arial"/>
                <w:sz w:val="20"/>
                <w:szCs w:val="20"/>
              </w:rPr>
              <w:t>5,3</w:t>
            </w:r>
          </w:p>
        </w:tc>
      </w:tr>
      <w:tr w:rsidR="00A50899" w:rsidRPr="00AC2E07" w:rsidTr="00A324B6">
        <w:trPr>
          <w:trHeight w:val="20"/>
          <w:jc w:val="center"/>
        </w:trPr>
        <w:tc>
          <w:tcPr>
            <w:tcW w:w="4303" w:type="dxa"/>
            <w:shd w:val="clear" w:color="auto" w:fill="auto"/>
          </w:tcPr>
          <w:p w:rsidR="00A50899" w:rsidRPr="007E1313" w:rsidRDefault="00A50899" w:rsidP="00A324B6">
            <w:pPr>
              <w:widowControl w:val="0"/>
              <w:autoSpaceDE w:val="0"/>
              <w:autoSpaceDN w:val="0"/>
              <w:adjustRightInd w:val="0"/>
              <w:spacing w:before="40" w:after="20"/>
              <w:ind w:left="289" w:hanging="289"/>
              <w:rPr>
                <w:rFonts w:ascii="Arial" w:hAnsi="Arial" w:cs="Arial"/>
                <w:sz w:val="20"/>
                <w:szCs w:val="20"/>
              </w:rPr>
            </w:pPr>
            <w:r w:rsidRPr="007E1313">
              <w:rPr>
                <w:rFonts w:ascii="Arial" w:hAnsi="Arial" w:cs="Arial"/>
                <w:sz w:val="20"/>
                <w:szCs w:val="20"/>
              </w:rPr>
              <w:t>5. Khoa học xã hội</w:t>
            </w:r>
          </w:p>
        </w:tc>
        <w:tc>
          <w:tcPr>
            <w:tcW w:w="1364" w:type="dxa"/>
            <w:shd w:val="clear" w:color="auto" w:fill="auto"/>
          </w:tcPr>
          <w:p w:rsidR="00A50899" w:rsidRPr="007E1313" w:rsidRDefault="00A50899" w:rsidP="00A324B6">
            <w:pPr>
              <w:widowControl w:val="0"/>
              <w:autoSpaceDE w:val="0"/>
              <w:autoSpaceDN w:val="0"/>
              <w:adjustRightInd w:val="0"/>
              <w:spacing w:before="40" w:after="20"/>
              <w:ind w:right="454"/>
              <w:jc w:val="right"/>
              <w:rPr>
                <w:rFonts w:ascii="Arial" w:hAnsi="Arial" w:cs="Arial"/>
                <w:sz w:val="20"/>
                <w:szCs w:val="20"/>
              </w:rPr>
            </w:pPr>
            <w:r w:rsidRPr="007E1313">
              <w:rPr>
                <w:rFonts w:ascii="Arial" w:hAnsi="Arial" w:cs="Arial"/>
                <w:sz w:val="20"/>
                <w:szCs w:val="20"/>
              </w:rPr>
              <w:t>143</w:t>
            </w:r>
          </w:p>
        </w:tc>
        <w:tc>
          <w:tcPr>
            <w:tcW w:w="1395" w:type="dxa"/>
            <w:shd w:val="clear" w:color="auto" w:fill="auto"/>
          </w:tcPr>
          <w:p w:rsidR="00A50899" w:rsidRPr="007E1313" w:rsidRDefault="00A50899" w:rsidP="00A324B6">
            <w:pPr>
              <w:widowControl w:val="0"/>
              <w:autoSpaceDE w:val="0"/>
              <w:autoSpaceDN w:val="0"/>
              <w:adjustRightInd w:val="0"/>
              <w:spacing w:before="40" w:after="20"/>
              <w:ind w:right="454"/>
              <w:jc w:val="right"/>
              <w:rPr>
                <w:rFonts w:ascii="Arial" w:hAnsi="Arial" w:cs="Arial"/>
                <w:sz w:val="20"/>
                <w:szCs w:val="20"/>
              </w:rPr>
            </w:pPr>
            <w:r w:rsidRPr="007E1313">
              <w:rPr>
                <w:rFonts w:ascii="Arial" w:hAnsi="Arial" w:cs="Arial"/>
                <w:sz w:val="20"/>
                <w:szCs w:val="20"/>
              </w:rPr>
              <w:t>42,</w:t>
            </w:r>
            <w:r>
              <w:rPr>
                <w:rFonts w:ascii="Arial" w:hAnsi="Arial" w:cs="Arial"/>
                <w:sz w:val="20"/>
                <w:szCs w:val="20"/>
              </w:rPr>
              <w:t>2</w:t>
            </w:r>
          </w:p>
        </w:tc>
      </w:tr>
      <w:tr w:rsidR="00A50899" w:rsidRPr="00AC2E07" w:rsidTr="00A324B6">
        <w:trPr>
          <w:trHeight w:val="20"/>
          <w:jc w:val="center"/>
        </w:trPr>
        <w:tc>
          <w:tcPr>
            <w:tcW w:w="4303" w:type="dxa"/>
            <w:shd w:val="clear" w:color="auto" w:fill="auto"/>
          </w:tcPr>
          <w:p w:rsidR="00A50899" w:rsidRPr="007E1313" w:rsidRDefault="00A50899" w:rsidP="00A324B6">
            <w:pPr>
              <w:widowControl w:val="0"/>
              <w:autoSpaceDE w:val="0"/>
              <w:autoSpaceDN w:val="0"/>
              <w:adjustRightInd w:val="0"/>
              <w:spacing w:before="40" w:after="20"/>
              <w:ind w:left="289" w:hanging="289"/>
              <w:rPr>
                <w:rFonts w:ascii="Arial" w:hAnsi="Arial" w:cs="Arial"/>
                <w:sz w:val="20"/>
                <w:szCs w:val="20"/>
              </w:rPr>
            </w:pPr>
            <w:r w:rsidRPr="007E1313">
              <w:rPr>
                <w:rFonts w:ascii="Arial" w:hAnsi="Arial" w:cs="Arial"/>
                <w:sz w:val="20"/>
                <w:szCs w:val="20"/>
              </w:rPr>
              <w:t>6. Khoa học nhân văn</w:t>
            </w:r>
          </w:p>
        </w:tc>
        <w:tc>
          <w:tcPr>
            <w:tcW w:w="1364" w:type="dxa"/>
            <w:shd w:val="clear" w:color="auto" w:fill="auto"/>
          </w:tcPr>
          <w:p w:rsidR="00A50899" w:rsidRPr="007E1313" w:rsidRDefault="00A50899" w:rsidP="00A324B6">
            <w:pPr>
              <w:widowControl w:val="0"/>
              <w:autoSpaceDE w:val="0"/>
              <w:autoSpaceDN w:val="0"/>
              <w:adjustRightInd w:val="0"/>
              <w:spacing w:before="40" w:after="20"/>
              <w:ind w:right="454"/>
              <w:jc w:val="right"/>
              <w:rPr>
                <w:rFonts w:ascii="Arial" w:hAnsi="Arial" w:cs="Arial"/>
                <w:sz w:val="20"/>
                <w:szCs w:val="20"/>
              </w:rPr>
            </w:pPr>
            <w:r w:rsidRPr="007E1313">
              <w:rPr>
                <w:rFonts w:ascii="Arial" w:hAnsi="Arial" w:cs="Arial"/>
                <w:sz w:val="20"/>
                <w:szCs w:val="20"/>
              </w:rPr>
              <w:t>15</w:t>
            </w:r>
          </w:p>
        </w:tc>
        <w:tc>
          <w:tcPr>
            <w:tcW w:w="1395" w:type="dxa"/>
            <w:shd w:val="clear" w:color="auto" w:fill="auto"/>
          </w:tcPr>
          <w:p w:rsidR="00A50899" w:rsidRPr="007E1313" w:rsidRDefault="00A50899" w:rsidP="00A324B6">
            <w:pPr>
              <w:widowControl w:val="0"/>
              <w:autoSpaceDE w:val="0"/>
              <w:autoSpaceDN w:val="0"/>
              <w:adjustRightInd w:val="0"/>
              <w:spacing w:before="40" w:after="20"/>
              <w:ind w:right="454"/>
              <w:jc w:val="right"/>
              <w:rPr>
                <w:rFonts w:ascii="Arial" w:hAnsi="Arial" w:cs="Arial"/>
                <w:sz w:val="20"/>
                <w:szCs w:val="20"/>
              </w:rPr>
            </w:pPr>
            <w:r w:rsidRPr="007E1313">
              <w:rPr>
                <w:rFonts w:ascii="Arial" w:hAnsi="Arial" w:cs="Arial"/>
                <w:sz w:val="20"/>
                <w:szCs w:val="20"/>
              </w:rPr>
              <w:t>4,4</w:t>
            </w:r>
          </w:p>
        </w:tc>
      </w:tr>
      <w:tr w:rsidR="00A50899" w:rsidRPr="00CF460E" w:rsidTr="00A324B6">
        <w:trPr>
          <w:trHeight w:val="20"/>
          <w:jc w:val="center"/>
        </w:trPr>
        <w:tc>
          <w:tcPr>
            <w:tcW w:w="4303" w:type="dxa"/>
            <w:shd w:val="clear" w:color="auto" w:fill="auto"/>
          </w:tcPr>
          <w:p w:rsidR="00A50899" w:rsidRPr="00CF460E" w:rsidRDefault="00A50899" w:rsidP="00A324B6">
            <w:pPr>
              <w:widowControl w:val="0"/>
              <w:autoSpaceDE w:val="0"/>
              <w:autoSpaceDN w:val="0"/>
              <w:adjustRightInd w:val="0"/>
              <w:spacing w:before="40" w:after="20"/>
              <w:rPr>
                <w:rFonts w:ascii="Arial" w:hAnsi="Arial" w:cs="Arial"/>
                <w:b/>
                <w:i/>
                <w:sz w:val="20"/>
                <w:szCs w:val="20"/>
              </w:rPr>
            </w:pPr>
            <w:r w:rsidRPr="00CF460E">
              <w:rPr>
                <w:rFonts w:ascii="Arial" w:hAnsi="Arial" w:cs="Arial"/>
                <w:b/>
                <w:bCs/>
                <w:i/>
                <w:iCs/>
                <w:sz w:val="20"/>
                <w:szCs w:val="20"/>
              </w:rPr>
              <w:t>Tổng cộng</w:t>
            </w:r>
          </w:p>
        </w:tc>
        <w:tc>
          <w:tcPr>
            <w:tcW w:w="1364" w:type="dxa"/>
            <w:shd w:val="clear" w:color="auto" w:fill="auto"/>
          </w:tcPr>
          <w:p w:rsidR="00A50899" w:rsidRPr="00CF460E" w:rsidRDefault="00A50899" w:rsidP="00A324B6">
            <w:pPr>
              <w:widowControl w:val="0"/>
              <w:autoSpaceDE w:val="0"/>
              <w:autoSpaceDN w:val="0"/>
              <w:adjustRightInd w:val="0"/>
              <w:spacing w:before="40" w:after="20"/>
              <w:ind w:right="454"/>
              <w:jc w:val="right"/>
              <w:rPr>
                <w:rFonts w:ascii="Arial" w:hAnsi="Arial" w:cs="Arial"/>
                <w:b/>
                <w:i/>
                <w:sz w:val="20"/>
                <w:szCs w:val="20"/>
              </w:rPr>
            </w:pPr>
            <w:r w:rsidRPr="00CF460E">
              <w:rPr>
                <w:rFonts w:ascii="Arial" w:hAnsi="Arial" w:cs="Arial"/>
                <w:b/>
                <w:i/>
                <w:sz w:val="20"/>
                <w:szCs w:val="20"/>
              </w:rPr>
              <w:t>339</w:t>
            </w:r>
          </w:p>
        </w:tc>
        <w:tc>
          <w:tcPr>
            <w:tcW w:w="1395" w:type="dxa"/>
            <w:shd w:val="clear" w:color="auto" w:fill="auto"/>
          </w:tcPr>
          <w:p w:rsidR="00A50899" w:rsidRPr="00CF460E" w:rsidRDefault="00A50899" w:rsidP="00A324B6">
            <w:pPr>
              <w:widowControl w:val="0"/>
              <w:autoSpaceDE w:val="0"/>
              <w:autoSpaceDN w:val="0"/>
              <w:adjustRightInd w:val="0"/>
              <w:spacing w:before="40" w:after="20"/>
              <w:ind w:right="454"/>
              <w:jc w:val="right"/>
              <w:rPr>
                <w:rFonts w:ascii="Arial" w:hAnsi="Arial" w:cs="Arial"/>
                <w:b/>
                <w:bCs/>
                <w:i/>
                <w:iCs/>
                <w:sz w:val="20"/>
                <w:szCs w:val="20"/>
              </w:rPr>
            </w:pPr>
            <w:r w:rsidRPr="00CF460E">
              <w:rPr>
                <w:rFonts w:ascii="Arial" w:hAnsi="Arial" w:cs="Arial"/>
                <w:b/>
                <w:bCs/>
                <w:i/>
                <w:iCs/>
                <w:sz w:val="20"/>
                <w:szCs w:val="20"/>
              </w:rPr>
              <w:t>100</w:t>
            </w:r>
          </w:p>
        </w:tc>
      </w:tr>
    </w:tbl>
    <w:p w:rsidR="00A50899" w:rsidRDefault="00A50899" w:rsidP="00A50899">
      <w:pPr>
        <w:pStyle w:val="nguon"/>
      </w:pPr>
      <w:r w:rsidRPr="00F74739">
        <w:t>Nguồn: Điều tra tiềm lực của các tổ chức khoa học và công nghệ, năm 2014</w:t>
      </w:r>
      <w:r>
        <w:t>.</w:t>
      </w:r>
    </w:p>
    <w:p w:rsidR="00A50899" w:rsidRPr="0030786F" w:rsidRDefault="00A50899" w:rsidP="00A50899">
      <w:pPr>
        <w:pStyle w:val="khcnvn"/>
        <w:ind w:firstLine="0"/>
        <w:jc w:val="center"/>
      </w:pPr>
      <w:r w:rsidRPr="0030786F">
        <w:rPr>
          <w:noProof/>
          <w:lang w:val="en-US" w:eastAsia="en-US"/>
        </w:rPr>
        <w:drawing>
          <wp:inline distT="0" distB="0" distL="0" distR="0" wp14:anchorId="1512189A" wp14:editId="72467813">
            <wp:extent cx="3604260" cy="19881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t="8110"/>
                    <a:stretch>
                      <a:fillRect/>
                    </a:stretch>
                  </pic:blipFill>
                  <pic:spPr bwMode="auto">
                    <a:xfrm>
                      <a:off x="0" y="0"/>
                      <a:ext cx="3604260" cy="1988185"/>
                    </a:xfrm>
                    <a:prstGeom prst="rect">
                      <a:avLst/>
                    </a:prstGeom>
                    <a:noFill/>
                    <a:ln>
                      <a:noFill/>
                    </a:ln>
                  </pic:spPr>
                </pic:pic>
              </a:graphicData>
            </a:graphic>
          </wp:inline>
        </w:drawing>
      </w:r>
    </w:p>
    <w:p w:rsidR="00A50899" w:rsidRPr="00A05AE4" w:rsidRDefault="00A50899" w:rsidP="00A50899">
      <w:pPr>
        <w:pStyle w:val="khcnvntenhinh"/>
        <w:spacing w:after="260"/>
        <w:rPr>
          <w:rFonts w:eastAsia="Calibri"/>
        </w:rPr>
      </w:pPr>
      <w:bookmarkStart w:id="12" w:name="_Toc453341468"/>
      <w:r w:rsidRPr="00A05AE4">
        <w:rPr>
          <w:rFonts w:eastAsia="Calibri"/>
          <w:b/>
          <w:i/>
          <w:lang w:val="vi-VN"/>
        </w:rPr>
        <w:t xml:space="preserve">Hình </w:t>
      </w:r>
      <w:r>
        <w:rPr>
          <w:rFonts w:eastAsia="Calibri"/>
          <w:b/>
          <w:i/>
        </w:rPr>
        <w:t>1</w:t>
      </w:r>
      <w:r w:rsidRPr="00A05AE4">
        <w:rPr>
          <w:rFonts w:eastAsia="Calibri"/>
          <w:b/>
          <w:i/>
          <w:lang w:val="vi-VN"/>
        </w:rPr>
        <w:t>.</w:t>
      </w:r>
      <w:r w:rsidRPr="00A05AE4">
        <w:rPr>
          <w:rFonts w:eastAsia="Calibri"/>
          <w:b/>
          <w:i/>
          <w:lang w:val="en-GB"/>
        </w:rPr>
        <w:t>4</w:t>
      </w:r>
      <w:r w:rsidRPr="00A05AE4">
        <w:rPr>
          <w:rFonts w:eastAsia="Calibri"/>
          <w:b/>
          <w:i/>
          <w:lang w:val="vi-VN"/>
        </w:rPr>
        <w:t>.</w:t>
      </w:r>
      <w:r w:rsidRPr="00A05AE4">
        <w:rPr>
          <w:rFonts w:eastAsia="Calibri"/>
          <w:b/>
          <w:i/>
          <w:lang w:val="en-GB"/>
        </w:rPr>
        <w:t xml:space="preserve"> </w:t>
      </w:r>
      <w:r w:rsidRPr="00A05AE4">
        <w:rPr>
          <w:rFonts w:eastAsia="Calibri"/>
          <w:i/>
        </w:rPr>
        <w:t>C</w:t>
      </w:r>
      <w:r w:rsidRPr="00A05AE4">
        <w:rPr>
          <w:rFonts w:eastAsia="Calibri"/>
          <w:lang w:val="vi-VN"/>
        </w:rPr>
        <w:t xml:space="preserve">ơ sở giáo dục đại học chia theo lĩnh vực </w:t>
      </w:r>
      <w:r w:rsidRPr="00A05AE4">
        <w:rPr>
          <w:rFonts w:eastAsia="Calibri"/>
          <w:lang w:val="en-GB"/>
        </w:rPr>
        <w:t>KH&amp;CN</w:t>
      </w:r>
      <w:bookmarkEnd w:id="12"/>
      <w:r w:rsidRPr="00A05AE4">
        <w:rPr>
          <w:rFonts w:eastAsia="Calibri"/>
          <w:lang w:val="vi-VN"/>
        </w:rPr>
        <w:t xml:space="preserve"> </w:t>
      </w:r>
    </w:p>
    <w:p w:rsidR="00A50899" w:rsidRPr="004D07A8" w:rsidRDefault="00A50899" w:rsidP="00A50899">
      <w:pPr>
        <w:pStyle w:val="bodyA0"/>
        <w:spacing w:line="264" w:lineRule="auto"/>
      </w:pPr>
      <w:r w:rsidRPr="004D07A8">
        <w:t xml:space="preserve"> Theo phân bố địa lý, các cơ sở giáo dục đại học tập trung ở Hà Nội và T</w:t>
      </w:r>
      <w:r>
        <w:t>P</w:t>
      </w:r>
      <w:r w:rsidRPr="004D07A8">
        <w:t xml:space="preserve">. Hồ Chí Minh 27,4%. Vùng có tỷ lệ các cơ sở giáo dục đại học cao nhất là </w:t>
      </w:r>
      <w:r>
        <w:t xml:space="preserve">Hà Nội và </w:t>
      </w:r>
      <w:r w:rsidRPr="004D07A8">
        <w:t xml:space="preserve">Đồng bằng sông Hồng (28,02%), tiếp đến là vùng </w:t>
      </w:r>
      <w:r>
        <w:rPr>
          <w:color w:val="000000"/>
          <w:szCs w:val="26"/>
        </w:rPr>
        <w:t>Trung du và m</w:t>
      </w:r>
      <w:r w:rsidRPr="004D07A8">
        <w:rPr>
          <w:color w:val="000000"/>
          <w:szCs w:val="26"/>
        </w:rPr>
        <w:t xml:space="preserve">iền núi phía Bắc (20,94%), vùng </w:t>
      </w:r>
      <w:r>
        <w:rPr>
          <w:color w:val="000000"/>
          <w:szCs w:val="26"/>
        </w:rPr>
        <w:t>Đông Nam Bộ</w:t>
      </w:r>
      <w:r w:rsidRPr="004D07A8">
        <w:rPr>
          <w:color w:val="000000"/>
          <w:szCs w:val="26"/>
        </w:rPr>
        <w:t xml:space="preserve"> (17,7%), </w:t>
      </w:r>
      <w:r w:rsidRPr="004D07A8">
        <w:t xml:space="preserve">vùng </w:t>
      </w:r>
      <w:r>
        <w:rPr>
          <w:color w:val="000000"/>
          <w:szCs w:val="26"/>
        </w:rPr>
        <w:t>Bắc Trung Bộ và d</w:t>
      </w:r>
      <w:r w:rsidRPr="004D07A8">
        <w:rPr>
          <w:color w:val="000000"/>
          <w:szCs w:val="26"/>
        </w:rPr>
        <w:t xml:space="preserve">uyên hải miền Trung (17,7%), vùng Đồng bằng sông Cửu Long  (11,8%) và cuối cùng là vùng Tây Nguyên chỉ có 3,83% </w:t>
      </w:r>
      <w:r w:rsidRPr="004D07A8">
        <w:t xml:space="preserve">(Bảng </w:t>
      </w:r>
      <w:r>
        <w:rPr>
          <w:lang w:val="en-US"/>
        </w:rPr>
        <w:t>1</w:t>
      </w:r>
      <w:r w:rsidRPr="004D07A8">
        <w:t xml:space="preserve">.4, Hình </w:t>
      </w:r>
      <w:r>
        <w:rPr>
          <w:lang w:val="en-US"/>
        </w:rPr>
        <w:t>1</w:t>
      </w:r>
      <w:r w:rsidRPr="004D07A8">
        <w:t>.5).</w:t>
      </w:r>
    </w:p>
    <w:p w:rsidR="00320ECA" w:rsidRDefault="00320ECA">
      <w:pPr>
        <w:spacing w:after="160" w:line="259" w:lineRule="auto"/>
        <w:rPr>
          <w:rFonts w:ascii="Arial" w:hAnsi="Arial"/>
          <w:b/>
          <w:bCs/>
          <w:i/>
          <w:iCs/>
          <w:sz w:val="20"/>
          <w:szCs w:val="22"/>
        </w:rPr>
      </w:pPr>
      <w:bookmarkStart w:id="13" w:name="_Toc453342461"/>
      <w:r>
        <w:rPr>
          <w:b/>
          <w:i/>
        </w:rPr>
        <w:br w:type="page"/>
      </w:r>
    </w:p>
    <w:p w:rsidR="00A50899" w:rsidRDefault="00A50899" w:rsidP="00A50899">
      <w:pPr>
        <w:pStyle w:val="khcnvnTenBang"/>
        <w:spacing w:before="160" w:after="100"/>
      </w:pPr>
      <w:r w:rsidRPr="00245241">
        <w:rPr>
          <w:b/>
          <w:i/>
        </w:rPr>
        <w:lastRenderedPageBreak/>
        <w:t xml:space="preserve">Bảng </w:t>
      </w:r>
      <w:r>
        <w:rPr>
          <w:b/>
          <w:i/>
        </w:rPr>
        <w:t>1</w:t>
      </w:r>
      <w:r w:rsidRPr="00245241">
        <w:rPr>
          <w:b/>
          <w:i/>
        </w:rPr>
        <w:t>.4.</w:t>
      </w:r>
      <w:r>
        <w:rPr>
          <w:b/>
          <w:i/>
        </w:rPr>
        <w:t xml:space="preserve"> </w:t>
      </w:r>
      <w:r w:rsidRPr="00AF1AA6">
        <w:t>C</w:t>
      </w:r>
      <w:r>
        <w:t xml:space="preserve">ơ sở giáo dục đại học </w:t>
      </w:r>
      <w:r w:rsidRPr="005F43AC">
        <w:t xml:space="preserve">theo </w:t>
      </w:r>
      <w:r>
        <w:t>vùng địa lý</w:t>
      </w:r>
      <w:bookmarkEnd w:id="13"/>
    </w:p>
    <w:tbl>
      <w:tblPr>
        <w:tblW w:w="4814" w:type="pct"/>
        <w:jc w:val="center"/>
        <w:tblLook w:val="04A0" w:firstRow="1" w:lastRow="0" w:firstColumn="1" w:lastColumn="0" w:noHBand="0" w:noVBand="1"/>
      </w:tblPr>
      <w:tblGrid>
        <w:gridCol w:w="5119"/>
        <w:gridCol w:w="1939"/>
        <w:gridCol w:w="1935"/>
      </w:tblGrid>
      <w:tr w:rsidR="00A50899" w:rsidRPr="00A70D82" w:rsidTr="00A324B6">
        <w:trPr>
          <w:trHeight w:val="20"/>
          <w:jc w:val="center"/>
        </w:trPr>
        <w:tc>
          <w:tcPr>
            <w:tcW w:w="2846" w:type="pct"/>
            <w:vMerge w:val="restart"/>
            <w:tcBorders>
              <w:top w:val="single" w:sz="4" w:space="0" w:color="auto"/>
              <w:left w:val="single" w:sz="4" w:space="0" w:color="auto"/>
              <w:right w:val="single" w:sz="4" w:space="0" w:color="auto"/>
            </w:tcBorders>
            <w:shd w:val="clear" w:color="auto" w:fill="66CCFF"/>
            <w:noWrap/>
            <w:vAlign w:val="center"/>
          </w:tcPr>
          <w:p w:rsidR="00A50899" w:rsidRPr="00A70D82" w:rsidRDefault="00A50899" w:rsidP="00A324B6">
            <w:pPr>
              <w:spacing w:before="40" w:after="40"/>
              <w:jc w:val="center"/>
              <w:rPr>
                <w:rFonts w:ascii="Arial" w:hAnsi="Arial" w:cs="Arial"/>
                <w:b/>
                <w:color w:val="000000"/>
                <w:sz w:val="20"/>
                <w:szCs w:val="20"/>
              </w:rPr>
            </w:pPr>
            <w:r w:rsidRPr="00A70D82">
              <w:rPr>
                <w:rFonts w:ascii="Arial" w:hAnsi="Arial" w:cs="Arial"/>
                <w:b/>
                <w:color w:val="000000"/>
                <w:sz w:val="20"/>
                <w:szCs w:val="20"/>
              </w:rPr>
              <w:t>Vùng</w:t>
            </w:r>
          </w:p>
        </w:tc>
        <w:tc>
          <w:tcPr>
            <w:tcW w:w="2154" w:type="pct"/>
            <w:gridSpan w:val="2"/>
            <w:tcBorders>
              <w:top w:val="single" w:sz="4" w:space="0" w:color="auto"/>
              <w:left w:val="nil"/>
              <w:bottom w:val="single" w:sz="4" w:space="0" w:color="auto"/>
              <w:right w:val="single" w:sz="4" w:space="0" w:color="auto"/>
            </w:tcBorders>
            <w:shd w:val="clear" w:color="auto" w:fill="66CCFF"/>
            <w:noWrap/>
            <w:vAlign w:val="center"/>
          </w:tcPr>
          <w:p w:rsidR="00A50899" w:rsidRPr="00A70D82" w:rsidRDefault="00A50899" w:rsidP="00A324B6">
            <w:pPr>
              <w:spacing w:before="40" w:after="40"/>
              <w:jc w:val="center"/>
              <w:rPr>
                <w:rFonts w:ascii="Arial" w:hAnsi="Arial" w:cs="Arial"/>
                <w:b/>
                <w:color w:val="000000"/>
                <w:sz w:val="20"/>
                <w:szCs w:val="20"/>
              </w:rPr>
            </w:pPr>
            <w:r w:rsidRPr="00A70D82">
              <w:rPr>
                <w:rFonts w:ascii="Arial" w:hAnsi="Arial" w:cs="Arial"/>
                <w:b/>
                <w:color w:val="000000"/>
                <w:sz w:val="20"/>
                <w:szCs w:val="20"/>
              </w:rPr>
              <w:t>Tổ chức dịch vụ</w:t>
            </w:r>
          </w:p>
        </w:tc>
      </w:tr>
      <w:tr w:rsidR="00A50899" w:rsidRPr="00A70D82" w:rsidTr="00A324B6">
        <w:trPr>
          <w:trHeight w:val="20"/>
          <w:jc w:val="center"/>
        </w:trPr>
        <w:tc>
          <w:tcPr>
            <w:tcW w:w="2846" w:type="pct"/>
            <w:vMerge/>
            <w:tcBorders>
              <w:left w:val="single" w:sz="4" w:space="0" w:color="auto"/>
              <w:bottom w:val="single" w:sz="4" w:space="0" w:color="auto"/>
              <w:right w:val="single" w:sz="4" w:space="0" w:color="auto"/>
            </w:tcBorders>
            <w:shd w:val="clear" w:color="auto" w:fill="66CCFF"/>
            <w:noWrap/>
            <w:vAlign w:val="center"/>
          </w:tcPr>
          <w:p w:rsidR="00A50899" w:rsidRPr="00A70D82" w:rsidRDefault="00A50899" w:rsidP="00A324B6">
            <w:pPr>
              <w:spacing w:before="40" w:after="40"/>
              <w:jc w:val="center"/>
              <w:rPr>
                <w:rFonts w:ascii="Arial" w:hAnsi="Arial" w:cs="Arial"/>
                <w:b/>
                <w:color w:val="000000"/>
                <w:sz w:val="20"/>
                <w:szCs w:val="20"/>
              </w:rPr>
            </w:pPr>
          </w:p>
        </w:tc>
        <w:tc>
          <w:tcPr>
            <w:tcW w:w="1078" w:type="pct"/>
            <w:tcBorders>
              <w:top w:val="single" w:sz="4" w:space="0" w:color="auto"/>
              <w:left w:val="nil"/>
              <w:bottom w:val="single" w:sz="4" w:space="0" w:color="auto"/>
              <w:right w:val="single" w:sz="4" w:space="0" w:color="auto"/>
            </w:tcBorders>
            <w:shd w:val="clear" w:color="auto" w:fill="66CCFF"/>
            <w:noWrap/>
            <w:vAlign w:val="center"/>
          </w:tcPr>
          <w:p w:rsidR="00A50899" w:rsidRPr="00A70D82" w:rsidRDefault="00A50899" w:rsidP="00A324B6">
            <w:pPr>
              <w:spacing w:before="40" w:after="40"/>
              <w:jc w:val="center"/>
              <w:rPr>
                <w:rFonts w:ascii="Arial" w:hAnsi="Arial" w:cs="Arial"/>
                <w:b/>
                <w:color w:val="000000"/>
                <w:sz w:val="20"/>
                <w:szCs w:val="20"/>
              </w:rPr>
            </w:pPr>
            <w:r w:rsidRPr="00A70D82">
              <w:rPr>
                <w:rFonts w:ascii="Arial" w:hAnsi="Arial" w:cs="Arial"/>
                <w:b/>
                <w:color w:val="000000"/>
                <w:sz w:val="20"/>
                <w:szCs w:val="20"/>
              </w:rPr>
              <w:t>Số lượng</w:t>
            </w:r>
          </w:p>
        </w:tc>
        <w:tc>
          <w:tcPr>
            <w:tcW w:w="1076" w:type="pct"/>
            <w:tcBorders>
              <w:top w:val="single" w:sz="4" w:space="0" w:color="auto"/>
              <w:left w:val="nil"/>
              <w:bottom w:val="single" w:sz="4" w:space="0" w:color="auto"/>
              <w:right w:val="single" w:sz="4" w:space="0" w:color="auto"/>
            </w:tcBorders>
            <w:shd w:val="clear" w:color="auto" w:fill="66CCFF"/>
            <w:vAlign w:val="center"/>
          </w:tcPr>
          <w:p w:rsidR="00A50899" w:rsidRPr="00A70D82" w:rsidRDefault="00A50899" w:rsidP="00A324B6">
            <w:pPr>
              <w:spacing w:before="40" w:after="40"/>
              <w:jc w:val="center"/>
              <w:rPr>
                <w:rFonts w:ascii="Arial" w:hAnsi="Arial" w:cs="Arial"/>
                <w:b/>
                <w:color w:val="000000"/>
                <w:sz w:val="20"/>
                <w:szCs w:val="20"/>
              </w:rPr>
            </w:pPr>
            <w:r w:rsidRPr="00A70D82">
              <w:rPr>
                <w:rFonts w:ascii="Arial" w:hAnsi="Arial" w:cs="Arial"/>
                <w:b/>
                <w:color w:val="000000"/>
                <w:sz w:val="20"/>
                <w:szCs w:val="20"/>
              </w:rPr>
              <w:t>Tỷ lệ (%)</w:t>
            </w:r>
          </w:p>
        </w:tc>
      </w:tr>
      <w:tr w:rsidR="00A50899" w:rsidRPr="00A70D82" w:rsidTr="00A324B6">
        <w:trPr>
          <w:trHeight w:val="20"/>
          <w:jc w:val="center"/>
        </w:trPr>
        <w:tc>
          <w:tcPr>
            <w:tcW w:w="2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A70D82" w:rsidRDefault="00A50899" w:rsidP="00A324B6">
            <w:pPr>
              <w:spacing w:before="20" w:after="20"/>
              <w:rPr>
                <w:rFonts w:ascii="Arial" w:hAnsi="Arial" w:cs="Arial"/>
                <w:color w:val="000000"/>
                <w:sz w:val="20"/>
                <w:szCs w:val="20"/>
              </w:rPr>
            </w:pPr>
            <w:r w:rsidRPr="00A70D82">
              <w:rPr>
                <w:rFonts w:ascii="Arial" w:hAnsi="Arial" w:cs="Arial"/>
                <w:color w:val="000000"/>
                <w:sz w:val="20"/>
                <w:szCs w:val="20"/>
              </w:rPr>
              <w:t>1. Hà Nội</w:t>
            </w:r>
          </w:p>
        </w:tc>
        <w:tc>
          <w:tcPr>
            <w:tcW w:w="1078" w:type="pct"/>
            <w:tcBorders>
              <w:top w:val="single" w:sz="4" w:space="0" w:color="auto"/>
              <w:left w:val="nil"/>
              <w:bottom w:val="single" w:sz="4" w:space="0" w:color="auto"/>
              <w:right w:val="single" w:sz="4" w:space="0" w:color="auto"/>
            </w:tcBorders>
            <w:shd w:val="clear" w:color="auto" w:fill="auto"/>
            <w:noWrap/>
            <w:vAlign w:val="center"/>
          </w:tcPr>
          <w:p w:rsidR="00A50899" w:rsidRPr="00A70D82" w:rsidRDefault="00A50899" w:rsidP="00A324B6">
            <w:pPr>
              <w:spacing w:before="20" w:after="20"/>
              <w:ind w:right="454"/>
              <w:jc w:val="right"/>
              <w:rPr>
                <w:rFonts w:ascii="Arial" w:hAnsi="Arial" w:cs="Arial"/>
                <w:color w:val="000000"/>
                <w:sz w:val="20"/>
                <w:szCs w:val="20"/>
              </w:rPr>
            </w:pPr>
            <w:r w:rsidRPr="00A70D82">
              <w:rPr>
                <w:rFonts w:ascii="Arial" w:hAnsi="Arial" w:cs="Arial"/>
                <w:color w:val="000000"/>
                <w:sz w:val="20"/>
                <w:szCs w:val="20"/>
              </w:rPr>
              <w:t>55</w:t>
            </w:r>
          </w:p>
        </w:tc>
        <w:tc>
          <w:tcPr>
            <w:tcW w:w="1076" w:type="pct"/>
            <w:tcBorders>
              <w:top w:val="single" w:sz="4" w:space="0" w:color="auto"/>
              <w:left w:val="nil"/>
              <w:bottom w:val="single" w:sz="4" w:space="0" w:color="auto"/>
              <w:right w:val="single" w:sz="4" w:space="0" w:color="auto"/>
            </w:tcBorders>
            <w:shd w:val="clear" w:color="auto" w:fill="auto"/>
            <w:vAlign w:val="center"/>
          </w:tcPr>
          <w:p w:rsidR="00A50899" w:rsidRPr="00A70D82" w:rsidRDefault="00A50899" w:rsidP="00A324B6">
            <w:pPr>
              <w:spacing w:before="20" w:after="20"/>
              <w:ind w:right="454"/>
              <w:jc w:val="right"/>
              <w:rPr>
                <w:rFonts w:ascii="Arial" w:hAnsi="Arial" w:cs="Arial"/>
                <w:color w:val="000000"/>
                <w:sz w:val="20"/>
                <w:szCs w:val="20"/>
              </w:rPr>
            </w:pPr>
            <w:r w:rsidRPr="00A70D82">
              <w:rPr>
                <w:rFonts w:ascii="Arial" w:hAnsi="Arial" w:cs="Arial"/>
                <w:color w:val="000000"/>
                <w:sz w:val="20"/>
                <w:szCs w:val="20"/>
              </w:rPr>
              <w:t>16</w:t>
            </w:r>
            <w:r>
              <w:rPr>
                <w:rFonts w:ascii="Arial" w:hAnsi="Arial" w:cs="Arial"/>
                <w:color w:val="000000"/>
                <w:sz w:val="20"/>
                <w:szCs w:val="20"/>
              </w:rPr>
              <w:t>,</w:t>
            </w:r>
            <w:r w:rsidRPr="00A70D82">
              <w:rPr>
                <w:rFonts w:ascii="Arial" w:hAnsi="Arial" w:cs="Arial"/>
                <w:color w:val="000000"/>
                <w:sz w:val="20"/>
                <w:szCs w:val="20"/>
              </w:rPr>
              <w:t>22</w:t>
            </w:r>
          </w:p>
        </w:tc>
      </w:tr>
      <w:tr w:rsidR="00A50899" w:rsidRPr="00A70D82" w:rsidTr="00A324B6">
        <w:trPr>
          <w:trHeight w:val="20"/>
          <w:jc w:val="center"/>
        </w:trPr>
        <w:tc>
          <w:tcPr>
            <w:tcW w:w="2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A70D82" w:rsidRDefault="00A50899" w:rsidP="00A324B6">
            <w:pPr>
              <w:spacing w:before="20" w:after="20"/>
              <w:rPr>
                <w:rFonts w:ascii="Arial" w:hAnsi="Arial" w:cs="Arial"/>
                <w:color w:val="000000"/>
                <w:sz w:val="20"/>
                <w:szCs w:val="20"/>
              </w:rPr>
            </w:pPr>
            <w:r w:rsidRPr="00A70D82">
              <w:rPr>
                <w:rFonts w:ascii="Arial" w:hAnsi="Arial" w:cs="Arial"/>
                <w:color w:val="000000"/>
                <w:sz w:val="20"/>
                <w:szCs w:val="20"/>
              </w:rPr>
              <w:t>2. TP. Hồ Chí Minh</w:t>
            </w:r>
          </w:p>
        </w:tc>
        <w:tc>
          <w:tcPr>
            <w:tcW w:w="1078" w:type="pct"/>
            <w:tcBorders>
              <w:top w:val="single" w:sz="4" w:space="0" w:color="auto"/>
              <w:left w:val="nil"/>
              <w:bottom w:val="single" w:sz="4" w:space="0" w:color="auto"/>
              <w:right w:val="single" w:sz="4" w:space="0" w:color="auto"/>
            </w:tcBorders>
            <w:shd w:val="clear" w:color="auto" w:fill="auto"/>
            <w:noWrap/>
            <w:vAlign w:val="center"/>
          </w:tcPr>
          <w:p w:rsidR="00A50899" w:rsidRPr="00A70D82" w:rsidRDefault="00A50899" w:rsidP="00A324B6">
            <w:pPr>
              <w:spacing w:before="20" w:after="20"/>
              <w:ind w:right="454"/>
              <w:jc w:val="right"/>
              <w:rPr>
                <w:rFonts w:ascii="Arial" w:hAnsi="Arial" w:cs="Arial"/>
                <w:color w:val="000000"/>
                <w:sz w:val="20"/>
                <w:szCs w:val="20"/>
              </w:rPr>
            </w:pPr>
            <w:r w:rsidRPr="00A70D82">
              <w:rPr>
                <w:rFonts w:ascii="Arial" w:hAnsi="Arial" w:cs="Arial"/>
                <w:color w:val="000000"/>
                <w:sz w:val="20"/>
                <w:szCs w:val="20"/>
              </w:rPr>
              <w:t>38</w:t>
            </w:r>
          </w:p>
        </w:tc>
        <w:tc>
          <w:tcPr>
            <w:tcW w:w="1076" w:type="pct"/>
            <w:tcBorders>
              <w:top w:val="single" w:sz="4" w:space="0" w:color="auto"/>
              <w:left w:val="nil"/>
              <w:bottom w:val="single" w:sz="4" w:space="0" w:color="auto"/>
              <w:right w:val="single" w:sz="4" w:space="0" w:color="auto"/>
            </w:tcBorders>
            <w:shd w:val="clear" w:color="auto" w:fill="auto"/>
            <w:vAlign w:val="center"/>
          </w:tcPr>
          <w:p w:rsidR="00A50899" w:rsidRPr="00A70D82" w:rsidRDefault="00A50899" w:rsidP="00A324B6">
            <w:pPr>
              <w:spacing w:before="20" w:after="20"/>
              <w:ind w:right="454"/>
              <w:jc w:val="right"/>
              <w:rPr>
                <w:rFonts w:ascii="Arial" w:hAnsi="Arial" w:cs="Arial"/>
                <w:color w:val="000000"/>
                <w:sz w:val="20"/>
                <w:szCs w:val="20"/>
              </w:rPr>
            </w:pPr>
            <w:r w:rsidRPr="00A70D82">
              <w:rPr>
                <w:rFonts w:ascii="Arial" w:hAnsi="Arial" w:cs="Arial"/>
                <w:color w:val="000000"/>
                <w:sz w:val="20"/>
                <w:szCs w:val="20"/>
              </w:rPr>
              <w:t>11</w:t>
            </w:r>
            <w:r>
              <w:rPr>
                <w:rFonts w:ascii="Arial" w:hAnsi="Arial" w:cs="Arial"/>
                <w:color w:val="000000"/>
                <w:sz w:val="20"/>
                <w:szCs w:val="20"/>
              </w:rPr>
              <w:t>,</w:t>
            </w:r>
            <w:r w:rsidRPr="00A70D82">
              <w:rPr>
                <w:rFonts w:ascii="Arial" w:hAnsi="Arial" w:cs="Arial"/>
                <w:color w:val="000000"/>
                <w:sz w:val="20"/>
                <w:szCs w:val="20"/>
              </w:rPr>
              <w:t>21</w:t>
            </w:r>
          </w:p>
        </w:tc>
      </w:tr>
      <w:tr w:rsidR="00A50899" w:rsidRPr="00A70D82" w:rsidTr="00A324B6">
        <w:trPr>
          <w:trHeight w:val="20"/>
          <w:jc w:val="center"/>
        </w:trPr>
        <w:tc>
          <w:tcPr>
            <w:tcW w:w="2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A70D82" w:rsidRDefault="00A50899" w:rsidP="00A324B6">
            <w:pPr>
              <w:spacing w:before="20" w:after="20"/>
              <w:ind w:left="170" w:hanging="170"/>
              <w:rPr>
                <w:rFonts w:ascii="Arial" w:hAnsi="Arial" w:cs="Arial"/>
                <w:color w:val="000000"/>
                <w:sz w:val="20"/>
                <w:szCs w:val="20"/>
              </w:rPr>
            </w:pPr>
            <w:r w:rsidRPr="00A70D82">
              <w:rPr>
                <w:rFonts w:ascii="Arial" w:hAnsi="Arial" w:cs="Arial"/>
                <w:color w:val="000000"/>
                <w:sz w:val="20"/>
                <w:szCs w:val="20"/>
              </w:rPr>
              <w:t>3. Đ</w:t>
            </w:r>
            <w:r>
              <w:rPr>
                <w:rFonts w:ascii="Arial" w:hAnsi="Arial" w:cs="Arial"/>
                <w:color w:val="000000"/>
                <w:sz w:val="20"/>
                <w:szCs w:val="20"/>
              </w:rPr>
              <w:t>ồng bằng</w:t>
            </w:r>
            <w:r w:rsidRPr="00A70D82">
              <w:rPr>
                <w:rFonts w:ascii="Arial" w:hAnsi="Arial" w:cs="Arial"/>
                <w:color w:val="000000"/>
                <w:sz w:val="20"/>
                <w:szCs w:val="20"/>
              </w:rPr>
              <w:t xml:space="preserve"> sông Hồng </w:t>
            </w:r>
            <w:r w:rsidRPr="00A70D82">
              <w:rPr>
                <w:rFonts w:ascii="Arial" w:hAnsi="Arial" w:cs="Arial"/>
                <w:sz w:val="20"/>
                <w:szCs w:val="20"/>
              </w:rPr>
              <w:t>(không tính Hà Nội)</w:t>
            </w:r>
          </w:p>
        </w:tc>
        <w:tc>
          <w:tcPr>
            <w:tcW w:w="1078" w:type="pct"/>
            <w:tcBorders>
              <w:top w:val="single" w:sz="4" w:space="0" w:color="auto"/>
              <w:left w:val="nil"/>
              <w:bottom w:val="single" w:sz="4" w:space="0" w:color="auto"/>
              <w:right w:val="single" w:sz="4" w:space="0" w:color="auto"/>
            </w:tcBorders>
            <w:shd w:val="clear" w:color="auto" w:fill="auto"/>
            <w:noWrap/>
            <w:vAlign w:val="center"/>
          </w:tcPr>
          <w:p w:rsidR="00A50899" w:rsidRPr="00A70D82" w:rsidRDefault="00A50899" w:rsidP="00A324B6">
            <w:pPr>
              <w:spacing w:before="20" w:after="20"/>
              <w:ind w:right="454"/>
              <w:jc w:val="right"/>
              <w:rPr>
                <w:rFonts w:ascii="Arial" w:hAnsi="Arial" w:cs="Arial"/>
                <w:color w:val="000000"/>
                <w:sz w:val="20"/>
                <w:szCs w:val="20"/>
              </w:rPr>
            </w:pPr>
            <w:r w:rsidRPr="00A70D82">
              <w:rPr>
                <w:rFonts w:ascii="Arial" w:hAnsi="Arial" w:cs="Arial"/>
                <w:color w:val="000000"/>
                <w:sz w:val="20"/>
                <w:szCs w:val="20"/>
              </w:rPr>
              <w:t>40</w:t>
            </w:r>
          </w:p>
        </w:tc>
        <w:tc>
          <w:tcPr>
            <w:tcW w:w="1076" w:type="pct"/>
            <w:tcBorders>
              <w:top w:val="single" w:sz="4" w:space="0" w:color="auto"/>
              <w:left w:val="nil"/>
              <w:bottom w:val="single" w:sz="4" w:space="0" w:color="auto"/>
              <w:right w:val="single" w:sz="4" w:space="0" w:color="auto"/>
            </w:tcBorders>
            <w:shd w:val="clear" w:color="auto" w:fill="auto"/>
            <w:vAlign w:val="center"/>
          </w:tcPr>
          <w:p w:rsidR="00A50899" w:rsidRPr="00A70D82" w:rsidRDefault="00A50899" w:rsidP="00A324B6">
            <w:pPr>
              <w:spacing w:before="20" w:after="20"/>
              <w:ind w:right="454"/>
              <w:jc w:val="right"/>
              <w:rPr>
                <w:rFonts w:ascii="Arial" w:hAnsi="Arial" w:cs="Arial"/>
                <w:color w:val="000000"/>
                <w:sz w:val="20"/>
                <w:szCs w:val="20"/>
              </w:rPr>
            </w:pPr>
            <w:r w:rsidRPr="00A70D82">
              <w:rPr>
                <w:rFonts w:ascii="Arial" w:hAnsi="Arial" w:cs="Arial"/>
                <w:color w:val="000000"/>
                <w:sz w:val="20"/>
                <w:szCs w:val="20"/>
              </w:rPr>
              <w:t>11</w:t>
            </w:r>
            <w:r>
              <w:rPr>
                <w:rFonts w:ascii="Arial" w:hAnsi="Arial" w:cs="Arial"/>
                <w:color w:val="000000"/>
                <w:sz w:val="20"/>
                <w:szCs w:val="20"/>
              </w:rPr>
              <w:t>,</w:t>
            </w:r>
            <w:r w:rsidRPr="00A70D82">
              <w:rPr>
                <w:rFonts w:ascii="Arial" w:hAnsi="Arial" w:cs="Arial"/>
                <w:color w:val="000000"/>
                <w:sz w:val="20"/>
                <w:szCs w:val="20"/>
              </w:rPr>
              <w:t>80</w:t>
            </w:r>
          </w:p>
        </w:tc>
      </w:tr>
      <w:tr w:rsidR="00A50899" w:rsidRPr="00A70D82" w:rsidTr="00A324B6">
        <w:trPr>
          <w:trHeight w:val="20"/>
          <w:jc w:val="center"/>
        </w:trPr>
        <w:tc>
          <w:tcPr>
            <w:tcW w:w="2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A70D82" w:rsidRDefault="00A50899" w:rsidP="00A324B6">
            <w:pPr>
              <w:spacing w:before="20" w:after="20"/>
              <w:ind w:left="170" w:hanging="170"/>
              <w:rPr>
                <w:rFonts w:ascii="Arial" w:hAnsi="Arial" w:cs="Arial"/>
                <w:color w:val="000000"/>
                <w:sz w:val="20"/>
                <w:szCs w:val="20"/>
              </w:rPr>
            </w:pPr>
            <w:r w:rsidRPr="00A70D82">
              <w:rPr>
                <w:rFonts w:ascii="Arial" w:hAnsi="Arial" w:cs="Arial"/>
                <w:color w:val="000000"/>
                <w:sz w:val="20"/>
                <w:szCs w:val="20"/>
              </w:rPr>
              <w:t xml:space="preserve">4. Trung du </w:t>
            </w:r>
            <w:r>
              <w:rPr>
                <w:rFonts w:ascii="Arial" w:hAnsi="Arial" w:cs="Arial"/>
                <w:color w:val="000000"/>
                <w:sz w:val="20"/>
                <w:szCs w:val="20"/>
              </w:rPr>
              <w:t xml:space="preserve">và </w:t>
            </w:r>
            <w:r w:rsidRPr="00A70D82">
              <w:rPr>
                <w:rFonts w:ascii="Arial" w:hAnsi="Arial" w:cs="Arial"/>
                <w:color w:val="000000"/>
                <w:sz w:val="20"/>
                <w:szCs w:val="20"/>
              </w:rPr>
              <w:t>miền núi phía Bắc</w:t>
            </w:r>
          </w:p>
        </w:tc>
        <w:tc>
          <w:tcPr>
            <w:tcW w:w="1078" w:type="pct"/>
            <w:tcBorders>
              <w:top w:val="single" w:sz="4" w:space="0" w:color="auto"/>
              <w:left w:val="nil"/>
              <w:bottom w:val="single" w:sz="4" w:space="0" w:color="auto"/>
              <w:right w:val="single" w:sz="4" w:space="0" w:color="auto"/>
            </w:tcBorders>
            <w:shd w:val="clear" w:color="auto" w:fill="auto"/>
            <w:noWrap/>
            <w:vAlign w:val="center"/>
          </w:tcPr>
          <w:p w:rsidR="00A50899" w:rsidRPr="00A70D82" w:rsidRDefault="00A50899" w:rsidP="00A324B6">
            <w:pPr>
              <w:spacing w:before="20" w:after="20"/>
              <w:ind w:right="454"/>
              <w:jc w:val="right"/>
              <w:rPr>
                <w:rFonts w:ascii="Arial" w:hAnsi="Arial" w:cs="Arial"/>
                <w:color w:val="000000"/>
                <w:sz w:val="20"/>
                <w:szCs w:val="20"/>
              </w:rPr>
            </w:pPr>
            <w:r w:rsidRPr="00A70D82">
              <w:rPr>
                <w:rFonts w:ascii="Arial" w:hAnsi="Arial" w:cs="Arial"/>
                <w:color w:val="000000"/>
                <w:sz w:val="20"/>
                <w:szCs w:val="20"/>
              </w:rPr>
              <w:t>71</w:t>
            </w:r>
          </w:p>
        </w:tc>
        <w:tc>
          <w:tcPr>
            <w:tcW w:w="1076" w:type="pct"/>
            <w:tcBorders>
              <w:top w:val="single" w:sz="4" w:space="0" w:color="auto"/>
              <w:left w:val="nil"/>
              <w:bottom w:val="single" w:sz="4" w:space="0" w:color="auto"/>
              <w:right w:val="single" w:sz="4" w:space="0" w:color="auto"/>
            </w:tcBorders>
            <w:shd w:val="clear" w:color="auto" w:fill="auto"/>
            <w:vAlign w:val="center"/>
          </w:tcPr>
          <w:p w:rsidR="00A50899" w:rsidRPr="00A70D82" w:rsidRDefault="00A50899" w:rsidP="00A324B6">
            <w:pPr>
              <w:spacing w:before="20" w:after="20"/>
              <w:ind w:right="454"/>
              <w:jc w:val="right"/>
              <w:rPr>
                <w:rFonts w:ascii="Arial" w:hAnsi="Arial" w:cs="Arial"/>
                <w:color w:val="000000"/>
                <w:sz w:val="20"/>
                <w:szCs w:val="20"/>
              </w:rPr>
            </w:pPr>
            <w:r w:rsidRPr="00A70D82">
              <w:rPr>
                <w:rFonts w:ascii="Arial" w:hAnsi="Arial" w:cs="Arial"/>
                <w:color w:val="000000"/>
                <w:sz w:val="20"/>
                <w:szCs w:val="20"/>
              </w:rPr>
              <w:t>20</w:t>
            </w:r>
            <w:r>
              <w:rPr>
                <w:rFonts w:ascii="Arial" w:hAnsi="Arial" w:cs="Arial"/>
                <w:color w:val="000000"/>
                <w:sz w:val="20"/>
                <w:szCs w:val="20"/>
              </w:rPr>
              <w:t>,</w:t>
            </w:r>
            <w:r w:rsidRPr="00A70D82">
              <w:rPr>
                <w:rFonts w:ascii="Arial" w:hAnsi="Arial" w:cs="Arial"/>
                <w:color w:val="000000"/>
                <w:sz w:val="20"/>
                <w:szCs w:val="20"/>
              </w:rPr>
              <w:t>94</w:t>
            </w:r>
          </w:p>
        </w:tc>
      </w:tr>
      <w:tr w:rsidR="00A50899" w:rsidRPr="00A70D82" w:rsidTr="00A324B6">
        <w:trPr>
          <w:trHeight w:val="20"/>
          <w:jc w:val="center"/>
        </w:trPr>
        <w:tc>
          <w:tcPr>
            <w:tcW w:w="2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A70D82" w:rsidRDefault="00A50899" w:rsidP="00A324B6">
            <w:pPr>
              <w:spacing w:before="20" w:after="20"/>
              <w:ind w:left="170" w:hanging="170"/>
              <w:rPr>
                <w:rFonts w:ascii="Arial" w:hAnsi="Arial" w:cs="Arial"/>
                <w:color w:val="000000"/>
                <w:sz w:val="20"/>
                <w:szCs w:val="20"/>
              </w:rPr>
            </w:pPr>
            <w:r>
              <w:rPr>
                <w:rFonts w:ascii="Arial" w:hAnsi="Arial" w:cs="Arial"/>
                <w:color w:val="000000"/>
                <w:sz w:val="20"/>
                <w:szCs w:val="20"/>
              </w:rPr>
              <w:t>5. Bắc Trung bộ và d</w:t>
            </w:r>
            <w:r w:rsidRPr="00A70D82">
              <w:rPr>
                <w:rFonts w:ascii="Arial" w:hAnsi="Arial" w:cs="Arial"/>
                <w:color w:val="000000"/>
                <w:sz w:val="20"/>
                <w:szCs w:val="20"/>
              </w:rPr>
              <w:t>uyên hải miền Trung</w:t>
            </w:r>
          </w:p>
        </w:tc>
        <w:tc>
          <w:tcPr>
            <w:tcW w:w="1078" w:type="pct"/>
            <w:tcBorders>
              <w:top w:val="single" w:sz="4" w:space="0" w:color="auto"/>
              <w:left w:val="nil"/>
              <w:bottom w:val="single" w:sz="4" w:space="0" w:color="auto"/>
              <w:right w:val="single" w:sz="4" w:space="0" w:color="auto"/>
            </w:tcBorders>
            <w:shd w:val="clear" w:color="auto" w:fill="auto"/>
            <w:noWrap/>
            <w:vAlign w:val="center"/>
          </w:tcPr>
          <w:p w:rsidR="00A50899" w:rsidRPr="00A70D82" w:rsidRDefault="00A50899" w:rsidP="00A324B6">
            <w:pPr>
              <w:spacing w:before="20" w:after="20"/>
              <w:ind w:right="454"/>
              <w:jc w:val="right"/>
              <w:rPr>
                <w:rFonts w:ascii="Arial" w:hAnsi="Arial" w:cs="Arial"/>
                <w:color w:val="000000"/>
                <w:sz w:val="20"/>
                <w:szCs w:val="20"/>
              </w:rPr>
            </w:pPr>
            <w:r w:rsidRPr="00A70D82">
              <w:rPr>
                <w:rFonts w:ascii="Arial" w:hAnsi="Arial" w:cs="Arial"/>
                <w:color w:val="000000"/>
                <w:sz w:val="20"/>
                <w:szCs w:val="20"/>
              </w:rPr>
              <w:t>60</w:t>
            </w:r>
          </w:p>
        </w:tc>
        <w:tc>
          <w:tcPr>
            <w:tcW w:w="1076" w:type="pct"/>
            <w:tcBorders>
              <w:top w:val="single" w:sz="4" w:space="0" w:color="auto"/>
              <w:left w:val="nil"/>
              <w:bottom w:val="single" w:sz="4" w:space="0" w:color="auto"/>
              <w:right w:val="single" w:sz="4" w:space="0" w:color="auto"/>
            </w:tcBorders>
            <w:shd w:val="clear" w:color="auto" w:fill="auto"/>
            <w:vAlign w:val="center"/>
          </w:tcPr>
          <w:p w:rsidR="00A50899" w:rsidRPr="00A70D82" w:rsidRDefault="00A50899" w:rsidP="00A324B6">
            <w:pPr>
              <w:spacing w:before="20" w:after="20"/>
              <w:ind w:right="454"/>
              <w:jc w:val="right"/>
              <w:rPr>
                <w:rFonts w:ascii="Arial" w:hAnsi="Arial" w:cs="Arial"/>
                <w:color w:val="000000"/>
                <w:sz w:val="20"/>
                <w:szCs w:val="20"/>
              </w:rPr>
            </w:pPr>
            <w:r w:rsidRPr="00A70D82">
              <w:rPr>
                <w:rFonts w:ascii="Arial" w:hAnsi="Arial" w:cs="Arial"/>
                <w:color w:val="000000"/>
                <w:sz w:val="20"/>
                <w:szCs w:val="20"/>
              </w:rPr>
              <w:t>17</w:t>
            </w:r>
            <w:r>
              <w:rPr>
                <w:rFonts w:ascii="Arial" w:hAnsi="Arial" w:cs="Arial"/>
                <w:color w:val="000000"/>
                <w:sz w:val="20"/>
                <w:szCs w:val="20"/>
              </w:rPr>
              <w:t>,</w:t>
            </w:r>
            <w:r w:rsidRPr="00A70D82">
              <w:rPr>
                <w:rFonts w:ascii="Arial" w:hAnsi="Arial" w:cs="Arial"/>
                <w:color w:val="000000"/>
                <w:sz w:val="20"/>
                <w:szCs w:val="20"/>
              </w:rPr>
              <w:t>70</w:t>
            </w:r>
          </w:p>
        </w:tc>
      </w:tr>
      <w:tr w:rsidR="00A50899" w:rsidRPr="00A70D82" w:rsidTr="00A324B6">
        <w:trPr>
          <w:trHeight w:val="20"/>
          <w:jc w:val="center"/>
        </w:trPr>
        <w:tc>
          <w:tcPr>
            <w:tcW w:w="2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A70D82" w:rsidRDefault="00A50899" w:rsidP="00A324B6">
            <w:pPr>
              <w:spacing w:before="20" w:after="20"/>
              <w:rPr>
                <w:rFonts w:ascii="Arial" w:hAnsi="Arial" w:cs="Arial"/>
                <w:color w:val="000000"/>
                <w:sz w:val="20"/>
                <w:szCs w:val="20"/>
              </w:rPr>
            </w:pPr>
            <w:r>
              <w:rPr>
                <w:rFonts w:ascii="Arial" w:hAnsi="Arial" w:cs="Arial"/>
                <w:color w:val="000000"/>
                <w:sz w:val="20"/>
                <w:szCs w:val="20"/>
              </w:rPr>
              <w:t>6. Tây N</w:t>
            </w:r>
            <w:r w:rsidRPr="00A70D82">
              <w:rPr>
                <w:rFonts w:ascii="Arial" w:hAnsi="Arial" w:cs="Arial"/>
                <w:color w:val="000000"/>
                <w:sz w:val="20"/>
                <w:szCs w:val="20"/>
              </w:rPr>
              <w:t>guyên</w:t>
            </w:r>
          </w:p>
        </w:tc>
        <w:tc>
          <w:tcPr>
            <w:tcW w:w="1078" w:type="pct"/>
            <w:tcBorders>
              <w:top w:val="single" w:sz="4" w:space="0" w:color="auto"/>
              <w:left w:val="nil"/>
              <w:bottom w:val="single" w:sz="4" w:space="0" w:color="auto"/>
              <w:right w:val="single" w:sz="4" w:space="0" w:color="auto"/>
            </w:tcBorders>
            <w:shd w:val="clear" w:color="auto" w:fill="auto"/>
            <w:noWrap/>
            <w:vAlign w:val="center"/>
          </w:tcPr>
          <w:p w:rsidR="00A50899" w:rsidRPr="00A70D82" w:rsidRDefault="00A50899" w:rsidP="00A324B6">
            <w:pPr>
              <w:spacing w:before="20" w:after="20"/>
              <w:ind w:right="454"/>
              <w:jc w:val="right"/>
              <w:rPr>
                <w:rFonts w:ascii="Arial" w:hAnsi="Arial" w:cs="Arial"/>
                <w:color w:val="000000"/>
                <w:sz w:val="20"/>
                <w:szCs w:val="20"/>
              </w:rPr>
            </w:pPr>
            <w:r w:rsidRPr="00A70D82">
              <w:rPr>
                <w:rFonts w:ascii="Arial" w:hAnsi="Arial" w:cs="Arial"/>
                <w:color w:val="000000"/>
                <w:sz w:val="20"/>
                <w:szCs w:val="20"/>
              </w:rPr>
              <w:t>13</w:t>
            </w:r>
          </w:p>
        </w:tc>
        <w:tc>
          <w:tcPr>
            <w:tcW w:w="1076" w:type="pct"/>
            <w:tcBorders>
              <w:top w:val="single" w:sz="4" w:space="0" w:color="auto"/>
              <w:left w:val="nil"/>
              <w:bottom w:val="single" w:sz="4" w:space="0" w:color="auto"/>
              <w:right w:val="single" w:sz="4" w:space="0" w:color="auto"/>
            </w:tcBorders>
            <w:shd w:val="clear" w:color="auto" w:fill="auto"/>
            <w:vAlign w:val="center"/>
          </w:tcPr>
          <w:p w:rsidR="00A50899" w:rsidRPr="00A70D82" w:rsidRDefault="00A50899" w:rsidP="00A324B6">
            <w:pPr>
              <w:spacing w:before="20" w:after="20"/>
              <w:ind w:right="454"/>
              <w:jc w:val="right"/>
              <w:rPr>
                <w:rFonts w:ascii="Arial" w:hAnsi="Arial" w:cs="Arial"/>
                <w:color w:val="000000"/>
                <w:sz w:val="20"/>
                <w:szCs w:val="20"/>
              </w:rPr>
            </w:pPr>
            <w:r w:rsidRPr="00A70D82">
              <w:rPr>
                <w:rFonts w:ascii="Arial" w:hAnsi="Arial" w:cs="Arial"/>
                <w:color w:val="000000"/>
                <w:sz w:val="20"/>
                <w:szCs w:val="20"/>
              </w:rPr>
              <w:t>3</w:t>
            </w:r>
            <w:r>
              <w:rPr>
                <w:rFonts w:ascii="Arial" w:hAnsi="Arial" w:cs="Arial"/>
                <w:color w:val="000000"/>
                <w:sz w:val="20"/>
                <w:szCs w:val="20"/>
              </w:rPr>
              <w:t>,</w:t>
            </w:r>
            <w:r w:rsidRPr="00A70D82">
              <w:rPr>
                <w:rFonts w:ascii="Arial" w:hAnsi="Arial" w:cs="Arial"/>
                <w:color w:val="000000"/>
                <w:sz w:val="20"/>
                <w:szCs w:val="20"/>
              </w:rPr>
              <w:t>83</w:t>
            </w:r>
          </w:p>
        </w:tc>
      </w:tr>
      <w:tr w:rsidR="00A50899" w:rsidRPr="00A70D82" w:rsidTr="00A324B6">
        <w:trPr>
          <w:trHeight w:val="20"/>
          <w:jc w:val="center"/>
        </w:trPr>
        <w:tc>
          <w:tcPr>
            <w:tcW w:w="2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A70D82" w:rsidRDefault="00A50899" w:rsidP="00A324B6">
            <w:pPr>
              <w:spacing w:before="20" w:after="20"/>
              <w:ind w:left="170" w:hanging="170"/>
              <w:rPr>
                <w:rFonts w:ascii="Arial" w:hAnsi="Arial" w:cs="Arial"/>
                <w:color w:val="000000"/>
                <w:sz w:val="20"/>
                <w:szCs w:val="20"/>
              </w:rPr>
            </w:pPr>
            <w:r>
              <w:rPr>
                <w:rFonts w:ascii="Arial" w:hAnsi="Arial" w:cs="Arial"/>
                <w:color w:val="000000"/>
                <w:sz w:val="20"/>
                <w:szCs w:val="20"/>
              </w:rPr>
              <w:t>7. Đông Nam Bộ</w:t>
            </w:r>
            <w:r w:rsidRPr="00A70D82">
              <w:rPr>
                <w:rFonts w:ascii="Arial" w:hAnsi="Arial" w:cs="Arial"/>
                <w:color w:val="000000"/>
                <w:sz w:val="20"/>
                <w:szCs w:val="20"/>
              </w:rPr>
              <w:t xml:space="preserve"> (không tính</w:t>
            </w:r>
            <w:r w:rsidRPr="00A70D82">
              <w:rPr>
                <w:rFonts w:ascii="Arial" w:hAnsi="Arial" w:cs="Arial"/>
                <w:sz w:val="20"/>
                <w:szCs w:val="20"/>
              </w:rPr>
              <w:t xml:space="preserve"> T</w:t>
            </w:r>
            <w:r>
              <w:rPr>
                <w:rFonts w:ascii="Arial" w:hAnsi="Arial" w:cs="Arial"/>
                <w:sz w:val="20"/>
                <w:szCs w:val="20"/>
              </w:rPr>
              <w:t>P</w:t>
            </w:r>
            <w:r w:rsidRPr="00A70D82">
              <w:rPr>
                <w:rFonts w:ascii="Arial" w:hAnsi="Arial" w:cs="Arial"/>
                <w:sz w:val="20"/>
                <w:szCs w:val="20"/>
              </w:rPr>
              <w:t>. H</w:t>
            </w:r>
            <w:r>
              <w:rPr>
                <w:rFonts w:ascii="Arial" w:hAnsi="Arial" w:cs="Arial"/>
                <w:sz w:val="20"/>
                <w:szCs w:val="20"/>
              </w:rPr>
              <w:t xml:space="preserve">ồ </w:t>
            </w:r>
            <w:r w:rsidRPr="00A70D82">
              <w:rPr>
                <w:rFonts w:ascii="Arial" w:hAnsi="Arial" w:cs="Arial"/>
                <w:sz w:val="20"/>
                <w:szCs w:val="20"/>
              </w:rPr>
              <w:t>C</w:t>
            </w:r>
            <w:r>
              <w:rPr>
                <w:rFonts w:ascii="Arial" w:hAnsi="Arial" w:cs="Arial"/>
                <w:sz w:val="20"/>
                <w:szCs w:val="20"/>
              </w:rPr>
              <w:t xml:space="preserve">hí </w:t>
            </w:r>
            <w:r w:rsidRPr="00A70D82">
              <w:rPr>
                <w:rFonts w:ascii="Arial" w:hAnsi="Arial" w:cs="Arial"/>
                <w:sz w:val="20"/>
                <w:szCs w:val="20"/>
              </w:rPr>
              <w:t>M</w:t>
            </w:r>
            <w:r>
              <w:rPr>
                <w:rFonts w:ascii="Arial" w:hAnsi="Arial" w:cs="Arial"/>
                <w:sz w:val="20"/>
                <w:szCs w:val="20"/>
              </w:rPr>
              <w:t>inh</w:t>
            </w:r>
            <w:r w:rsidRPr="00A70D82">
              <w:rPr>
                <w:rFonts w:ascii="Arial" w:hAnsi="Arial" w:cs="Arial"/>
                <w:sz w:val="20"/>
                <w:szCs w:val="20"/>
              </w:rPr>
              <w:t>)</w:t>
            </w:r>
          </w:p>
        </w:tc>
        <w:tc>
          <w:tcPr>
            <w:tcW w:w="1078" w:type="pct"/>
            <w:tcBorders>
              <w:top w:val="single" w:sz="4" w:space="0" w:color="auto"/>
              <w:left w:val="nil"/>
              <w:bottom w:val="single" w:sz="4" w:space="0" w:color="auto"/>
              <w:right w:val="single" w:sz="4" w:space="0" w:color="auto"/>
            </w:tcBorders>
            <w:shd w:val="clear" w:color="auto" w:fill="auto"/>
            <w:noWrap/>
            <w:vAlign w:val="center"/>
          </w:tcPr>
          <w:p w:rsidR="00A50899" w:rsidRPr="00A70D82" w:rsidRDefault="00A50899" w:rsidP="00A324B6">
            <w:pPr>
              <w:spacing w:before="20" w:after="20"/>
              <w:ind w:right="454"/>
              <w:jc w:val="right"/>
              <w:rPr>
                <w:rFonts w:ascii="Arial" w:hAnsi="Arial" w:cs="Arial"/>
                <w:color w:val="000000"/>
                <w:sz w:val="20"/>
                <w:szCs w:val="20"/>
              </w:rPr>
            </w:pPr>
            <w:r w:rsidRPr="00A70D82">
              <w:rPr>
                <w:rFonts w:ascii="Arial" w:hAnsi="Arial" w:cs="Arial"/>
                <w:color w:val="000000"/>
                <w:sz w:val="20"/>
                <w:szCs w:val="20"/>
              </w:rPr>
              <w:t>22</w:t>
            </w:r>
          </w:p>
        </w:tc>
        <w:tc>
          <w:tcPr>
            <w:tcW w:w="1076" w:type="pct"/>
            <w:tcBorders>
              <w:top w:val="single" w:sz="4" w:space="0" w:color="auto"/>
              <w:left w:val="nil"/>
              <w:bottom w:val="single" w:sz="4" w:space="0" w:color="auto"/>
              <w:right w:val="single" w:sz="4" w:space="0" w:color="auto"/>
            </w:tcBorders>
            <w:shd w:val="clear" w:color="auto" w:fill="auto"/>
            <w:vAlign w:val="center"/>
          </w:tcPr>
          <w:p w:rsidR="00A50899" w:rsidRPr="00A70D82" w:rsidRDefault="00A50899" w:rsidP="00A324B6">
            <w:pPr>
              <w:spacing w:before="20" w:after="20"/>
              <w:ind w:right="454"/>
              <w:jc w:val="right"/>
              <w:rPr>
                <w:rFonts w:ascii="Arial" w:hAnsi="Arial" w:cs="Arial"/>
                <w:color w:val="000000"/>
                <w:sz w:val="20"/>
                <w:szCs w:val="20"/>
              </w:rPr>
            </w:pPr>
            <w:r w:rsidRPr="00A70D82">
              <w:rPr>
                <w:rFonts w:ascii="Arial" w:hAnsi="Arial" w:cs="Arial"/>
                <w:color w:val="000000"/>
                <w:sz w:val="20"/>
                <w:szCs w:val="20"/>
              </w:rPr>
              <w:t>6</w:t>
            </w:r>
            <w:r>
              <w:rPr>
                <w:rFonts w:ascii="Arial" w:hAnsi="Arial" w:cs="Arial"/>
                <w:color w:val="000000"/>
                <w:sz w:val="20"/>
                <w:szCs w:val="20"/>
              </w:rPr>
              <w:t>,</w:t>
            </w:r>
            <w:r w:rsidRPr="00A70D82">
              <w:rPr>
                <w:rFonts w:ascii="Arial" w:hAnsi="Arial" w:cs="Arial"/>
                <w:color w:val="000000"/>
                <w:sz w:val="20"/>
                <w:szCs w:val="20"/>
              </w:rPr>
              <w:t>49</w:t>
            </w:r>
          </w:p>
        </w:tc>
      </w:tr>
      <w:tr w:rsidR="00A50899" w:rsidRPr="00A70D82" w:rsidTr="00A324B6">
        <w:trPr>
          <w:trHeight w:val="20"/>
          <w:jc w:val="center"/>
        </w:trPr>
        <w:tc>
          <w:tcPr>
            <w:tcW w:w="2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A70D82" w:rsidRDefault="00A50899" w:rsidP="00A324B6">
            <w:pPr>
              <w:spacing w:before="20" w:after="20"/>
              <w:rPr>
                <w:rFonts w:ascii="Arial" w:hAnsi="Arial" w:cs="Arial"/>
                <w:color w:val="000000"/>
                <w:sz w:val="20"/>
                <w:szCs w:val="20"/>
              </w:rPr>
            </w:pPr>
            <w:r w:rsidRPr="00A70D82">
              <w:rPr>
                <w:rFonts w:ascii="Arial" w:hAnsi="Arial" w:cs="Arial"/>
                <w:color w:val="000000"/>
                <w:sz w:val="20"/>
                <w:szCs w:val="20"/>
              </w:rPr>
              <w:t>8. Đ</w:t>
            </w:r>
            <w:r>
              <w:rPr>
                <w:rFonts w:ascii="Arial" w:hAnsi="Arial" w:cs="Arial"/>
                <w:color w:val="000000"/>
                <w:sz w:val="20"/>
                <w:szCs w:val="20"/>
              </w:rPr>
              <w:t>ồng bằng</w:t>
            </w:r>
            <w:r w:rsidRPr="00A70D82">
              <w:rPr>
                <w:rFonts w:ascii="Arial" w:hAnsi="Arial" w:cs="Arial"/>
                <w:color w:val="000000"/>
                <w:sz w:val="20"/>
                <w:szCs w:val="20"/>
              </w:rPr>
              <w:t xml:space="preserve"> sông Cửu Long (Tây Nam Bộ)</w:t>
            </w:r>
          </w:p>
        </w:tc>
        <w:tc>
          <w:tcPr>
            <w:tcW w:w="1078" w:type="pct"/>
            <w:tcBorders>
              <w:top w:val="single" w:sz="4" w:space="0" w:color="auto"/>
              <w:left w:val="nil"/>
              <w:bottom w:val="single" w:sz="4" w:space="0" w:color="auto"/>
              <w:right w:val="single" w:sz="4" w:space="0" w:color="auto"/>
            </w:tcBorders>
            <w:shd w:val="clear" w:color="auto" w:fill="auto"/>
            <w:noWrap/>
            <w:vAlign w:val="center"/>
          </w:tcPr>
          <w:p w:rsidR="00A50899" w:rsidRPr="00A70D82" w:rsidRDefault="00A50899" w:rsidP="00A324B6">
            <w:pPr>
              <w:spacing w:before="20" w:after="20"/>
              <w:ind w:right="454"/>
              <w:jc w:val="right"/>
              <w:rPr>
                <w:rFonts w:ascii="Arial" w:hAnsi="Arial" w:cs="Arial"/>
                <w:color w:val="000000"/>
                <w:sz w:val="20"/>
                <w:szCs w:val="20"/>
              </w:rPr>
            </w:pPr>
            <w:r w:rsidRPr="00A70D82">
              <w:rPr>
                <w:rFonts w:ascii="Arial" w:hAnsi="Arial" w:cs="Arial"/>
                <w:color w:val="000000"/>
                <w:sz w:val="20"/>
                <w:szCs w:val="20"/>
              </w:rPr>
              <w:t>40</w:t>
            </w:r>
          </w:p>
        </w:tc>
        <w:tc>
          <w:tcPr>
            <w:tcW w:w="1076" w:type="pct"/>
            <w:tcBorders>
              <w:top w:val="single" w:sz="4" w:space="0" w:color="auto"/>
              <w:left w:val="nil"/>
              <w:bottom w:val="single" w:sz="4" w:space="0" w:color="auto"/>
              <w:right w:val="single" w:sz="4" w:space="0" w:color="auto"/>
            </w:tcBorders>
            <w:shd w:val="clear" w:color="auto" w:fill="auto"/>
            <w:vAlign w:val="center"/>
          </w:tcPr>
          <w:p w:rsidR="00A50899" w:rsidRPr="00A70D82" w:rsidRDefault="00A50899" w:rsidP="00A324B6">
            <w:pPr>
              <w:spacing w:before="20" w:after="20"/>
              <w:ind w:right="454"/>
              <w:jc w:val="right"/>
              <w:rPr>
                <w:rFonts w:ascii="Arial" w:hAnsi="Arial" w:cs="Arial"/>
                <w:color w:val="000000"/>
                <w:sz w:val="20"/>
                <w:szCs w:val="20"/>
              </w:rPr>
            </w:pPr>
            <w:r w:rsidRPr="00A70D82">
              <w:rPr>
                <w:rFonts w:ascii="Arial" w:hAnsi="Arial" w:cs="Arial"/>
                <w:color w:val="000000"/>
                <w:sz w:val="20"/>
                <w:szCs w:val="20"/>
              </w:rPr>
              <w:t>11</w:t>
            </w:r>
            <w:r>
              <w:rPr>
                <w:rFonts w:ascii="Arial" w:hAnsi="Arial" w:cs="Arial"/>
                <w:color w:val="000000"/>
                <w:sz w:val="20"/>
                <w:szCs w:val="20"/>
              </w:rPr>
              <w:t>,</w:t>
            </w:r>
            <w:r w:rsidRPr="00A70D82">
              <w:rPr>
                <w:rFonts w:ascii="Arial" w:hAnsi="Arial" w:cs="Arial"/>
                <w:color w:val="000000"/>
                <w:sz w:val="20"/>
                <w:szCs w:val="20"/>
              </w:rPr>
              <w:t>80</w:t>
            </w:r>
          </w:p>
        </w:tc>
      </w:tr>
      <w:tr w:rsidR="00A50899" w:rsidRPr="00CF460E" w:rsidTr="00A324B6">
        <w:trPr>
          <w:trHeight w:val="20"/>
          <w:jc w:val="center"/>
        </w:trPr>
        <w:tc>
          <w:tcPr>
            <w:tcW w:w="2846" w:type="pct"/>
            <w:tcBorders>
              <w:top w:val="single" w:sz="4" w:space="0" w:color="auto"/>
              <w:left w:val="single" w:sz="8" w:space="0" w:color="auto"/>
              <w:bottom w:val="single" w:sz="4" w:space="0" w:color="auto"/>
              <w:right w:val="single" w:sz="8" w:space="0" w:color="auto"/>
            </w:tcBorders>
            <w:shd w:val="clear" w:color="auto" w:fill="auto"/>
            <w:vAlign w:val="center"/>
          </w:tcPr>
          <w:p w:rsidR="00A50899" w:rsidRPr="00CF460E" w:rsidRDefault="00A50899" w:rsidP="00A324B6">
            <w:pPr>
              <w:spacing w:before="20" w:after="20"/>
              <w:rPr>
                <w:rFonts w:ascii="Arial" w:hAnsi="Arial" w:cs="Arial"/>
                <w:b/>
                <w:bCs/>
                <w:i/>
                <w:iCs/>
                <w:color w:val="000000"/>
                <w:sz w:val="20"/>
                <w:szCs w:val="20"/>
              </w:rPr>
            </w:pPr>
            <w:r w:rsidRPr="00CF460E">
              <w:rPr>
                <w:rFonts w:ascii="Arial" w:hAnsi="Arial" w:cs="Arial"/>
                <w:b/>
                <w:bCs/>
                <w:i/>
                <w:iCs/>
                <w:color w:val="000000"/>
                <w:sz w:val="20"/>
                <w:szCs w:val="20"/>
              </w:rPr>
              <w:t>Toàn bộ</w:t>
            </w:r>
          </w:p>
        </w:tc>
        <w:tc>
          <w:tcPr>
            <w:tcW w:w="1078" w:type="pct"/>
            <w:tcBorders>
              <w:top w:val="single" w:sz="4" w:space="0" w:color="auto"/>
              <w:left w:val="nil"/>
              <w:bottom w:val="single" w:sz="4" w:space="0" w:color="auto"/>
              <w:right w:val="single" w:sz="8" w:space="0" w:color="auto"/>
            </w:tcBorders>
            <w:shd w:val="clear" w:color="auto" w:fill="auto"/>
            <w:vAlign w:val="center"/>
          </w:tcPr>
          <w:p w:rsidR="00A50899" w:rsidRPr="00CF460E" w:rsidRDefault="00A50899" w:rsidP="00A324B6">
            <w:pPr>
              <w:spacing w:before="20" w:after="20"/>
              <w:ind w:right="454"/>
              <w:jc w:val="right"/>
              <w:rPr>
                <w:rFonts w:ascii="Arial" w:hAnsi="Arial" w:cs="Arial"/>
                <w:b/>
                <w:bCs/>
                <w:i/>
                <w:iCs/>
                <w:color w:val="000000"/>
                <w:sz w:val="20"/>
                <w:szCs w:val="20"/>
              </w:rPr>
            </w:pPr>
            <w:r w:rsidRPr="00CF460E">
              <w:rPr>
                <w:rFonts w:ascii="Arial" w:hAnsi="Arial" w:cs="Arial"/>
                <w:b/>
                <w:bCs/>
                <w:i/>
                <w:iCs/>
                <w:color w:val="000000"/>
                <w:sz w:val="20"/>
                <w:szCs w:val="20"/>
              </w:rPr>
              <w:t>339</w:t>
            </w:r>
          </w:p>
        </w:tc>
        <w:tc>
          <w:tcPr>
            <w:tcW w:w="1076" w:type="pct"/>
            <w:tcBorders>
              <w:top w:val="single" w:sz="4" w:space="0" w:color="auto"/>
              <w:left w:val="nil"/>
              <w:bottom w:val="single" w:sz="4" w:space="0" w:color="auto"/>
              <w:right w:val="single" w:sz="8" w:space="0" w:color="auto"/>
            </w:tcBorders>
            <w:shd w:val="clear" w:color="auto" w:fill="auto"/>
            <w:vAlign w:val="center"/>
          </w:tcPr>
          <w:p w:rsidR="00A50899" w:rsidRPr="00CF460E" w:rsidRDefault="00A50899" w:rsidP="00A324B6">
            <w:pPr>
              <w:spacing w:before="20" w:after="20"/>
              <w:ind w:right="454"/>
              <w:jc w:val="right"/>
              <w:rPr>
                <w:rFonts w:ascii="Arial" w:hAnsi="Arial" w:cs="Arial"/>
                <w:b/>
                <w:bCs/>
                <w:i/>
                <w:iCs/>
                <w:color w:val="000000"/>
                <w:sz w:val="20"/>
                <w:szCs w:val="20"/>
              </w:rPr>
            </w:pPr>
            <w:r w:rsidRPr="00CF460E">
              <w:rPr>
                <w:rFonts w:ascii="Arial" w:hAnsi="Arial" w:cs="Arial"/>
                <w:b/>
                <w:bCs/>
                <w:i/>
                <w:iCs/>
                <w:color w:val="000000"/>
                <w:sz w:val="20"/>
                <w:szCs w:val="20"/>
              </w:rPr>
              <w:t>100</w:t>
            </w:r>
          </w:p>
        </w:tc>
      </w:tr>
    </w:tbl>
    <w:p w:rsidR="00A50899" w:rsidRDefault="00A50899" w:rsidP="00A50899">
      <w:pPr>
        <w:pStyle w:val="nguon"/>
      </w:pPr>
      <w:r w:rsidRPr="00F74739">
        <w:t>Nguồn: Điều tra tiềm lực của các tổ chức khoa học và công nghệ, năm 2014</w:t>
      </w:r>
      <w:r>
        <w:t>.</w:t>
      </w:r>
    </w:p>
    <w:p w:rsidR="00A50899" w:rsidRPr="00936663" w:rsidRDefault="00A50899" w:rsidP="00A50899">
      <w:pPr>
        <w:pStyle w:val="khcnvn"/>
        <w:spacing w:before="60"/>
        <w:ind w:firstLine="0"/>
        <w:jc w:val="center"/>
      </w:pPr>
      <w:r w:rsidRPr="00936663">
        <w:rPr>
          <w:noProof/>
          <w:lang w:val="en-US" w:eastAsia="en-US"/>
        </w:rPr>
        <w:drawing>
          <wp:inline distT="0" distB="0" distL="0" distR="0" wp14:anchorId="14797095" wp14:editId="11E0CB64">
            <wp:extent cx="4220845" cy="2530475"/>
            <wp:effectExtent l="0" t="0" r="825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b="7065"/>
                    <a:stretch>
                      <a:fillRect/>
                    </a:stretch>
                  </pic:blipFill>
                  <pic:spPr bwMode="auto">
                    <a:xfrm>
                      <a:off x="0" y="0"/>
                      <a:ext cx="4220845" cy="2530475"/>
                    </a:xfrm>
                    <a:prstGeom prst="rect">
                      <a:avLst/>
                    </a:prstGeom>
                    <a:noFill/>
                    <a:ln>
                      <a:noFill/>
                    </a:ln>
                  </pic:spPr>
                </pic:pic>
              </a:graphicData>
            </a:graphic>
          </wp:inline>
        </w:drawing>
      </w:r>
    </w:p>
    <w:p w:rsidR="00A50899" w:rsidRPr="00A05AE4" w:rsidRDefault="00A50899" w:rsidP="00A50899">
      <w:pPr>
        <w:pStyle w:val="khcnvntenhinh"/>
        <w:rPr>
          <w:rFonts w:eastAsia="Calibri"/>
        </w:rPr>
      </w:pPr>
      <w:bookmarkStart w:id="14" w:name="_Toc453341469"/>
      <w:r w:rsidRPr="00A05AE4">
        <w:rPr>
          <w:rFonts w:eastAsia="Calibri"/>
          <w:b/>
          <w:i/>
          <w:lang w:val="vi-VN"/>
        </w:rPr>
        <w:t xml:space="preserve">Hình </w:t>
      </w:r>
      <w:r>
        <w:rPr>
          <w:rFonts w:eastAsia="Calibri"/>
          <w:b/>
          <w:i/>
        </w:rPr>
        <w:t>1</w:t>
      </w:r>
      <w:r w:rsidRPr="00A05AE4">
        <w:rPr>
          <w:rFonts w:eastAsia="Calibri"/>
          <w:b/>
          <w:i/>
          <w:lang w:val="vi-VN"/>
        </w:rPr>
        <w:t>.</w:t>
      </w:r>
      <w:r w:rsidRPr="00A05AE4">
        <w:rPr>
          <w:rFonts w:eastAsia="Calibri"/>
          <w:b/>
          <w:i/>
          <w:lang w:val="en-GB"/>
        </w:rPr>
        <w:t>5.</w:t>
      </w:r>
      <w:r w:rsidRPr="00A05AE4">
        <w:rPr>
          <w:rFonts w:eastAsia="Calibri"/>
          <w:b/>
          <w:i/>
          <w:lang w:val="vi-VN"/>
        </w:rPr>
        <w:t xml:space="preserve"> </w:t>
      </w:r>
      <w:r w:rsidRPr="00A05AE4">
        <w:rPr>
          <w:rFonts w:eastAsia="Calibri"/>
          <w:lang w:val="vi-VN"/>
        </w:rPr>
        <w:t>Phân bố các cơ sở giáo dục đại học theo vùng địa lý</w:t>
      </w:r>
      <w:bookmarkEnd w:id="14"/>
    </w:p>
    <w:p w:rsidR="00A50899" w:rsidRDefault="00A50899" w:rsidP="00A50899">
      <w:pPr>
        <w:pStyle w:val="bodyA0"/>
        <w:spacing w:before="60" w:line="278" w:lineRule="auto"/>
      </w:pPr>
      <w:r>
        <w:t>Theo xếp hạng các trường đại học</w:t>
      </w:r>
      <w:r w:rsidRPr="000C6CD6">
        <w:rPr>
          <w:vertAlign w:val="superscript"/>
        </w:rPr>
        <w:t>(</w:t>
      </w:r>
      <w:r w:rsidRPr="000C6CD6">
        <w:rPr>
          <w:rStyle w:val="FootnoteReference"/>
        </w:rPr>
        <w:footnoteReference w:id="1"/>
      </w:r>
      <w:r w:rsidRPr="000C6CD6">
        <w:rPr>
          <w:vertAlign w:val="superscript"/>
        </w:rPr>
        <w:t>)</w:t>
      </w:r>
      <w:r>
        <w:t xml:space="preserve"> do Cybermetrics Lab</w:t>
      </w:r>
      <w:r w:rsidRPr="000C6CD6">
        <w:rPr>
          <w:vertAlign w:val="superscript"/>
        </w:rPr>
        <w:t>(</w:t>
      </w:r>
      <w:r w:rsidRPr="000C6CD6">
        <w:rPr>
          <w:rStyle w:val="FootnoteReference"/>
        </w:rPr>
        <w:footnoteReference w:id="2"/>
      </w:r>
      <w:r w:rsidRPr="000C6CD6">
        <w:rPr>
          <w:vertAlign w:val="superscript"/>
        </w:rPr>
        <w:t>)</w:t>
      </w:r>
      <w:r>
        <w:t xml:space="preserve"> đưa ra, tại thời điểm hiện nay, Việt Nam có 10 đại học nằm trong khoảng top 100 đại học của Đông Nam Á (có tất cả 1.375 đại học), 1.000 đại học của châu Á (có tất cả 8.992 đại học) và trong 3.000 đại học trên thế giới (có tất cả 23.892 đại học) (Bảng </w:t>
      </w:r>
      <w:r>
        <w:rPr>
          <w:lang w:val="en-US"/>
        </w:rPr>
        <w:t>1</w:t>
      </w:r>
      <w:r>
        <w:t>.5).</w:t>
      </w:r>
    </w:p>
    <w:p w:rsidR="00A50899" w:rsidRPr="003B4CC1" w:rsidRDefault="00A50899" w:rsidP="00A50899">
      <w:pPr>
        <w:pStyle w:val="khcnvnTenBang"/>
        <w:spacing w:before="200"/>
      </w:pPr>
      <w:bookmarkStart w:id="15" w:name="_Toc453342462"/>
      <w:r w:rsidRPr="003B4CC1">
        <w:rPr>
          <w:b/>
          <w:i/>
        </w:rPr>
        <w:lastRenderedPageBreak/>
        <w:t xml:space="preserve">Bảng </w:t>
      </w:r>
      <w:r>
        <w:rPr>
          <w:b/>
          <w:i/>
        </w:rPr>
        <w:t>1</w:t>
      </w:r>
      <w:r w:rsidRPr="003B4CC1">
        <w:rPr>
          <w:b/>
          <w:i/>
        </w:rPr>
        <w:t>.5.</w:t>
      </w:r>
      <w:r w:rsidRPr="003B4CC1">
        <w:t xml:space="preserve"> Xếp hạng 10 đại học của Việt Nam ở Đông Nam Á, </w:t>
      </w:r>
      <w:r>
        <w:t>c</w:t>
      </w:r>
      <w:r w:rsidRPr="003B4CC1">
        <w:t xml:space="preserve">hâu Á và </w:t>
      </w:r>
      <w:r>
        <w:t>t</w:t>
      </w:r>
      <w:r w:rsidRPr="003B4CC1">
        <w:t>hế giới</w:t>
      </w:r>
      <w:bookmarkEnd w:id="15"/>
    </w:p>
    <w:tbl>
      <w:tblPr>
        <w:tblW w:w="4879" w:type="pct"/>
        <w:tblInd w:w="108" w:type="dxa"/>
        <w:tblLook w:val="04A0" w:firstRow="1" w:lastRow="0" w:firstColumn="1" w:lastColumn="0" w:noHBand="0" w:noVBand="1"/>
      </w:tblPr>
      <w:tblGrid>
        <w:gridCol w:w="4105"/>
        <w:gridCol w:w="1867"/>
        <w:gridCol w:w="1584"/>
        <w:gridCol w:w="1568"/>
      </w:tblGrid>
      <w:tr w:rsidR="00A50899" w:rsidRPr="004A2D44" w:rsidTr="00A324B6">
        <w:trPr>
          <w:trHeight w:val="1200"/>
        </w:trPr>
        <w:tc>
          <w:tcPr>
            <w:tcW w:w="2250" w:type="pct"/>
            <w:tcBorders>
              <w:top w:val="single" w:sz="4" w:space="0" w:color="auto"/>
              <w:left w:val="single" w:sz="4" w:space="0" w:color="auto"/>
              <w:bottom w:val="single" w:sz="4" w:space="0" w:color="auto"/>
              <w:right w:val="single" w:sz="4" w:space="0" w:color="auto"/>
            </w:tcBorders>
            <w:shd w:val="clear" w:color="auto" w:fill="66CCFF"/>
            <w:noWrap/>
            <w:vAlign w:val="center"/>
          </w:tcPr>
          <w:p w:rsidR="00A50899" w:rsidRPr="00A70D82" w:rsidRDefault="00A50899" w:rsidP="00A324B6">
            <w:pPr>
              <w:pStyle w:val="Bang2"/>
              <w:jc w:val="center"/>
              <w:rPr>
                <w:b/>
                <w:sz w:val="18"/>
                <w:szCs w:val="18"/>
                <w:lang w:val="en-GB" w:eastAsia="en-GB"/>
              </w:rPr>
            </w:pPr>
            <w:r w:rsidRPr="00A70D82">
              <w:rPr>
                <w:b/>
                <w:sz w:val="18"/>
                <w:szCs w:val="18"/>
                <w:lang w:val="en-GB" w:eastAsia="en-GB"/>
              </w:rPr>
              <w:t>C</w:t>
            </w:r>
            <w:r w:rsidRPr="00A70D82">
              <w:rPr>
                <w:rFonts w:cs="Arial"/>
                <w:b/>
                <w:sz w:val="18"/>
                <w:szCs w:val="18"/>
                <w:lang w:val="en-GB" w:eastAsia="en-GB"/>
              </w:rPr>
              <w:t>ơ</w:t>
            </w:r>
            <w:r w:rsidRPr="00A70D82">
              <w:rPr>
                <w:rFonts w:cs="Calibri"/>
                <w:b/>
                <w:sz w:val="18"/>
                <w:szCs w:val="18"/>
                <w:lang w:val="en-GB" w:eastAsia="en-GB"/>
              </w:rPr>
              <w:t xml:space="preserve"> s</w:t>
            </w:r>
            <w:r w:rsidRPr="00A70D82">
              <w:rPr>
                <w:rFonts w:cs="Arial"/>
                <w:b/>
                <w:sz w:val="18"/>
                <w:szCs w:val="18"/>
                <w:lang w:val="en-GB" w:eastAsia="en-GB"/>
              </w:rPr>
              <w:t>ở</w:t>
            </w:r>
            <w:r w:rsidRPr="00A70D82">
              <w:rPr>
                <w:rFonts w:cs="Calibri"/>
                <w:b/>
                <w:sz w:val="18"/>
                <w:szCs w:val="18"/>
                <w:lang w:val="en-GB" w:eastAsia="en-GB"/>
              </w:rPr>
              <w:t xml:space="preserve"> giáo d</w:t>
            </w:r>
            <w:r w:rsidRPr="00A70D82">
              <w:rPr>
                <w:rFonts w:cs="Arial"/>
                <w:b/>
                <w:sz w:val="18"/>
                <w:szCs w:val="18"/>
                <w:lang w:val="en-GB" w:eastAsia="en-GB"/>
              </w:rPr>
              <w:t>ụ</w:t>
            </w:r>
            <w:r w:rsidRPr="00A70D82">
              <w:rPr>
                <w:rFonts w:cs="Calibri"/>
                <w:b/>
                <w:sz w:val="18"/>
                <w:szCs w:val="18"/>
                <w:lang w:val="en-GB" w:eastAsia="en-GB"/>
              </w:rPr>
              <w:t>c đ</w:t>
            </w:r>
            <w:r w:rsidRPr="00A70D82">
              <w:rPr>
                <w:rFonts w:cs="Arial"/>
                <w:b/>
                <w:sz w:val="18"/>
                <w:szCs w:val="18"/>
                <w:lang w:val="en-GB" w:eastAsia="en-GB"/>
              </w:rPr>
              <w:t>ạ</w:t>
            </w:r>
            <w:r w:rsidRPr="00A70D82">
              <w:rPr>
                <w:b/>
                <w:sz w:val="18"/>
                <w:szCs w:val="18"/>
                <w:lang w:val="en-GB" w:eastAsia="en-GB"/>
              </w:rPr>
              <w:t>i h</w:t>
            </w:r>
            <w:r w:rsidRPr="00A70D82">
              <w:rPr>
                <w:rFonts w:cs="Arial"/>
                <w:b/>
                <w:sz w:val="18"/>
                <w:szCs w:val="18"/>
                <w:lang w:val="en-GB" w:eastAsia="en-GB"/>
              </w:rPr>
              <w:t>ọ</w:t>
            </w:r>
            <w:r w:rsidRPr="00A70D82">
              <w:rPr>
                <w:rFonts w:cs="Calibri"/>
                <w:b/>
                <w:sz w:val="18"/>
                <w:szCs w:val="18"/>
                <w:lang w:val="en-GB" w:eastAsia="en-GB"/>
              </w:rPr>
              <w:t>c</w:t>
            </w:r>
          </w:p>
        </w:tc>
        <w:tc>
          <w:tcPr>
            <w:tcW w:w="1023" w:type="pct"/>
            <w:tcBorders>
              <w:top w:val="single" w:sz="4" w:space="0" w:color="auto"/>
              <w:left w:val="nil"/>
              <w:bottom w:val="single" w:sz="4" w:space="0" w:color="auto"/>
              <w:right w:val="single" w:sz="4" w:space="0" w:color="auto"/>
            </w:tcBorders>
            <w:shd w:val="clear" w:color="auto" w:fill="66CCFF"/>
            <w:vAlign w:val="center"/>
          </w:tcPr>
          <w:p w:rsidR="00A50899" w:rsidRPr="00A70D82" w:rsidRDefault="00A50899" w:rsidP="00A324B6">
            <w:pPr>
              <w:pStyle w:val="Bang2"/>
              <w:jc w:val="center"/>
              <w:rPr>
                <w:b/>
                <w:sz w:val="18"/>
                <w:szCs w:val="18"/>
                <w:lang w:val="en-GB" w:eastAsia="en-GB"/>
              </w:rPr>
            </w:pPr>
            <w:r w:rsidRPr="00A70D82">
              <w:rPr>
                <w:b/>
                <w:sz w:val="18"/>
                <w:szCs w:val="18"/>
                <w:lang w:val="en-GB" w:eastAsia="en-GB"/>
              </w:rPr>
              <w:t>X</w:t>
            </w:r>
            <w:r w:rsidRPr="00A70D82">
              <w:rPr>
                <w:rFonts w:cs="Arial"/>
                <w:b/>
                <w:sz w:val="18"/>
                <w:szCs w:val="18"/>
                <w:lang w:val="en-GB" w:eastAsia="en-GB"/>
              </w:rPr>
              <w:t>ế</w:t>
            </w:r>
            <w:r w:rsidRPr="00A70D82">
              <w:rPr>
                <w:rFonts w:cs="Calibri"/>
                <w:b/>
                <w:sz w:val="18"/>
                <w:szCs w:val="18"/>
                <w:lang w:val="en-GB" w:eastAsia="en-GB"/>
              </w:rPr>
              <w:t>p h</w:t>
            </w:r>
            <w:r w:rsidRPr="00A70D82">
              <w:rPr>
                <w:rFonts w:cs="Arial"/>
                <w:b/>
                <w:sz w:val="18"/>
                <w:szCs w:val="18"/>
                <w:lang w:val="en-GB" w:eastAsia="en-GB"/>
              </w:rPr>
              <w:t>ạ</w:t>
            </w:r>
            <w:r w:rsidRPr="00A70D82">
              <w:rPr>
                <w:rFonts w:cs="Calibri"/>
                <w:b/>
                <w:sz w:val="18"/>
                <w:szCs w:val="18"/>
                <w:lang w:val="en-GB" w:eastAsia="en-GB"/>
              </w:rPr>
              <w:t>ng trong 100 đ</w:t>
            </w:r>
            <w:r w:rsidRPr="00A70D82">
              <w:rPr>
                <w:rFonts w:cs="Arial"/>
                <w:b/>
                <w:sz w:val="18"/>
                <w:szCs w:val="18"/>
                <w:lang w:val="en-GB" w:eastAsia="en-GB"/>
              </w:rPr>
              <w:t>ạ</w:t>
            </w:r>
            <w:r w:rsidRPr="00A70D82">
              <w:rPr>
                <w:rFonts w:cs="Calibri"/>
                <w:b/>
                <w:sz w:val="18"/>
                <w:szCs w:val="18"/>
                <w:lang w:val="en-GB" w:eastAsia="en-GB"/>
              </w:rPr>
              <w:t>i h</w:t>
            </w:r>
            <w:r w:rsidRPr="00A70D82">
              <w:rPr>
                <w:rFonts w:cs="Arial"/>
                <w:b/>
                <w:sz w:val="18"/>
                <w:szCs w:val="18"/>
                <w:lang w:val="en-GB" w:eastAsia="en-GB"/>
              </w:rPr>
              <w:t>ọ</w:t>
            </w:r>
            <w:r w:rsidRPr="00A70D82">
              <w:rPr>
                <w:rFonts w:cs="Calibri"/>
                <w:b/>
                <w:sz w:val="18"/>
                <w:szCs w:val="18"/>
                <w:lang w:val="en-GB" w:eastAsia="en-GB"/>
              </w:rPr>
              <w:t xml:space="preserve">c </w:t>
            </w:r>
            <w:r w:rsidRPr="00A70D82">
              <w:rPr>
                <w:rFonts w:cs="Arial"/>
                <w:b/>
                <w:sz w:val="18"/>
                <w:szCs w:val="18"/>
                <w:lang w:val="en-GB" w:eastAsia="en-GB"/>
              </w:rPr>
              <w:t>ở</w:t>
            </w:r>
            <w:r w:rsidRPr="00A70D82">
              <w:rPr>
                <w:rFonts w:cs="Calibri"/>
                <w:b/>
                <w:sz w:val="18"/>
                <w:szCs w:val="18"/>
                <w:lang w:val="en-GB" w:eastAsia="en-GB"/>
              </w:rPr>
              <w:t xml:space="preserve"> Đông Nam Á</w:t>
            </w:r>
            <w:r>
              <w:rPr>
                <w:rFonts w:cs="Calibri"/>
                <w:b/>
                <w:sz w:val="18"/>
                <w:szCs w:val="18"/>
                <w:lang w:val="en-GB" w:eastAsia="en-GB"/>
              </w:rPr>
              <w:t xml:space="preserve"> </w:t>
            </w:r>
            <w:r w:rsidRPr="00A70D82">
              <w:rPr>
                <w:rFonts w:cs="Calibri"/>
                <w:b/>
                <w:sz w:val="18"/>
                <w:szCs w:val="18"/>
                <w:lang w:val="en-GB" w:eastAsia="en-GB"/>
              </w:rPr>
              <w:t>(*)</w:t>
            </w:r>
          </w:p>
        </w:tc>
        <w:tc>
          <w:tcPr>
            <w:tcW w:w="868" w:type="pct"/>
            <w:tcBorders>
              <w:top w:val="single" w:sz="4" w:space="0" w:color="auto"/>
              <w:left w:val="nil"/>
              <w:bottom w:val="single" w:sz="4" w:space="0" w:color="auto"/>
              <w:right w:val="single" w:sz="4" w:space="0" w:color="auto"/>
            </w:tcBorders>
            <w:shd w:val="clear" w:color="auto" w:fill="66CCFF"/>
            <w:vAlign w:val="center"/>
          </w:tcPr>
          <w:p w:rsidR="00A50899" w:rsidRPr="00A70D82" w:rsidRDefault="00A50899" w:rsidP="00A324B6">
            <w:pPr>
              <w:pStyle w:val="Bang2"/>
              <w:jc w:val="center"/>
              <w:rPr>
                <w:b/>
                <w:sz w:val="18"/>
                <w:szCs w:val="18"/>
                <w:lang w:val="en-GB" w:eastAsia="en-GB"/>
              </w:rPr>
            </w:pPr>
            <w:r w:rsidRPr="00A70D82">
              <w:rPr>
                <w:b/>
                <w:sz w:val="18"/>
                <w:szCs w:val="18"/>
                <w:lang w:val="en-GB" w:eastAsia="en-GB"/>
              </w:rPr>
              <w:t>X</w:t>
            </w:r>
            <w:r w:rsidRPr="00A70D82">
              <w:rPr>
                <w:rFonts w:cs="Arial"/>
                <w:b/>
                <w:sz w:val="18"/>
                <w:szCs w:val="18"/>
                <w:lang w:val="en-GB" w:eastAsia="en-GB"/>
              </w:rPr>
              <w:t>ế</w:t>
            </w:r>
            <w:r w:rsidRPr="00A70D82">
              <w:rPr>
                <w:rFonts w:cs="Calibri"/>
                <w:b/>
                <w:sz w:val="18"/>
                <w:szCs w:val="18"/>
                <w:lang w:val="en-GB" w:eastAsia="en-GB"/>
              </w:rPr>
              <w:t>p h</w:t>
            </w:r>
            <w:r w:rsidRPr="00A70D82">
              <w:rPr>
                <w:rFonts w:cs="Arial"/>
                <w:b/>
                <w:sz w:val="18"/>
                <w:szCs w:val="18"/>
                <w:lang w:val="en-GB" w:eastAsia="en-GB"/>
              </w:rPr>
              <w:t>ạ</w:t>
            </w:r>
            <w:r w:rsidRPr="00A70D82">
              <w:rPr>
                <w:rFonts w:cs="Calibri"/>
                <w:b/>
                <w:sz w:val="18"/>
                <w:szCs w:val="18"/>
                <w:lang w:val="en-GB" w:eastAsia="en-GB"/>
              </w:rPr>
              <w:t>ng trong 1000 đ</w:t>
            </w:r>
            <w:r w:rsidRPr="00A70D82">
              <w:rPr>
                <w:rFonts w:cs="Arial"/>
                <w:b/>
                <w:sz w:val="18"/>
                <w:szCs w:val="18"/>
                <w:lang w:val="en-GB" w:eastAsia="en-GB"/>
              </w:rPr>
              <w:t>ạ</w:t>
            </w:r>
            <w:r w:rsidRPr="00A70D82">
              <w:rPr>
                <w:rFonts w:cs="Calibri"/>
                <w:b/>
                <w:sz w:val="18"/>
                <w:szCs w:val="18"/>
                <w:lang w:val="en-GB" w:eastAsia="en-GB"/>
              </w:rPr>
              <w:t>i h</w:t>
            </w:r>
            <w:r w:rsidRPr="00A70D82">
              <w:rPr>
                <w:rFonts w:cs="Arial"/>
                <w:b/>
                <w:sz w:val="18"/>
                <w:szCs w:val="18"/>
                <w:lang w:val="en-GB" w:eastAsia="en-GB"/>
              </w:rPr>
              <w:t>ọ</w:t>
            </w:r>
            <w:r w:rsidRPr="00A70D82">
              <w:rPr>
                <w:rFonts w:cs="Calibri"/>
                <w:b/>
                <w:sz w:val="18"/>
                <w:szCs w:val="18"/>
                <w:lang w:val="en-GB" w:eastAsia="en-GB"/>
              </w:rPr>
              <w:t xml:space="preserve">c </w:t>
            </w:r>
            <w:r w:rsidRPr="00A70D82">
              <w:rPr>
                <w:rFonts w:cs="Arial"/>
                <w:b/>
                <w:sz w:val="18"/>
                <w:szCs w:val="18"/>
                <w:lang w:val="en-GB" w:eastAsia="en-GB"/>
              </w:rPr>
              <w:t>ở</w:t>
            </w:r>
            <w:r w:rsidRPr="00A70D82">
              <w:rPr>
                <w:rFonts w:cs="Calibri"/>
                <w:b/>
                <w:sz w:val="18"/>
                <w:szCs w:val="18"/>
                <w:lang w:val="en-GB" w:eastAsia="en-GB"/>
              </w:rPr>
              <w:t xml:space="preserve"> </w:t>
            </w:r>
            <w:r>
              <w:rPr>
                <w:rFonts w:cs="Calibri"/>
                <w:b/>
                <w:sz w:val="18"/>
                <w:szCs w:val="18"/>
                <w:lang w:val="en-GB" w:eastAsia="en-GB"/>
              </w:rPr>
              <w:t>c</w:t>
            </w:r>
            <w:r w:rsidRPr="00A70D82">
              <w:rPr>
                <w:rFonts w:cs="Calibri"/>
                <w:b/>
                <w:sz w:val="18"/>
                <w:szCs w:val="18"/>
                <w:lang w:val="en-GB" w:eastAsia="en-GB"/>
              </w:rPr>
              <w:t>hâu Á (**)</w:t>
            </w:r>
          </w:p>
        </w:tc>
        <w:tc>
          <w:tcPr>
            <w:tcW w:w="859" w:type="pct"/>
            <w:tcBorders>
              <w:top w:val="single" w:sz="4" w:space="0" w:color="auto"/>
              <w:left w:val="nil"/>
              <w:bottom w:val="single" w:sz="4" w:space="0" w:color="auto"/>
              <w:right w:val="single" w:sz="4" w:space="0" w:color="auto"/>
            </w:tcBorders>
            <w:shd w:val="clear" w:color="auto" w:fill="66CCFF"/>
            <w:vAlign w:val="center"/>
          </w:tcPr>
          <w:p w:rsidR="00320ECA" w:rsidRDefault="00A50899" w:rsidP="00A324B6">
            <w:pPr>
              <w:pStyle w:val="Bang2"/>
              <w:jc w:val="center"/>
              <w:rPr>
                <w:rFonts w:cs="Calibri"/>
                <w:b/>
                <w:sz w:val="18"/>
                <w:szCs w:val="18"/>
                <w:lang w:val="en-GB" w:eastAsia="en-GB"/>
              </w:rPr>
            </w:pPr>
            <w:r w:rsidRPr="00A70D82">
              <w:rPr>
                <w:b/>
                <w:sz w:val="18"/>
                <w:szCs w:val="18"/>
                <w:lang w:val="en-GB" w:eastAsia="en-GB"/>
              </w:rPr>
              <w:t>X</w:t>
            </w:r>
            <w:r w:rsidRPr="00A70D82">
              <w:rPr>
                <w:rFonts w:cs="Arial"/>
                <w:b/>
                <w:sz w:val="18"/>
                <w:szCs w:val="18"/>
                <w:lang w:val="en-GB" w:eastAsia="en-GB"/>
              </w:rPr>
              <w:t>ế</w:t>
            </w:r>
            <w:r w:rsidRPr="00A70D82">
              <w:rPr>
                <w:rFonts w:cs="Calibri"/>
                <w:b/>
                <w:sz w:val="18"/>
                <w:szCs w:val="18"/>
                <w:lang w:val="en-GB" w:eastAsia="en-GB"/>
              </w:rPr>
              <w:t>p h</w:t>
            </w:r>
            <w:r w:rsidRPr="00A70D82">
              <w:rPr>
                <w:rFonts w:cs="Arial"/>
                <w:b/>
                <w:sz w:val="18"/>
                <w:szCs w:val="18"/>
                <w:lang w:val="en-GB" w:eastAsia="en-GB"/>
              </w:rPr>
              <w:t>ạ</w:t>
            </w:r>
            <w:r w:rsidRPr="00A70D82">
              <w:rPr>
                <w:rFonts w:cs="Calibri"/>
                <w:b/>
                <w:sz w:val="18"/>
                <w:szCs w:val="18"/>
                <w:lang w:val="en-GB" w:eastAsia="en-GB"/>
              </w:rPr>
              <w:t xml:space="preserve">ng trong 3000 ĐH trên </w:t>
            </w:r>
          </w:p>
          <w:p w:rsidR="00A50899" w:rsidRPr="00A70D82" w:rsidRDefault="00A50899" w:rsidP="00A324B6">
            <w:pPr>
              <w:pStyle w:val="Bang2"/>
              <w:jc w:val="center"/>
              <w:rPr>
                <w:b/>
                <w:sz w:val="18"/>
                <w:szCs w:val="18"/>
                <w:lang w:val="en-GB" w:eastAsia="en-GB"/>
              </w:rPr>
            </w:pPr>
            <w:r w:rsidRPr="00A70D82">
              <w:rPr>
                <w:rFonts w:cs="Calibri"/>
                <w:b/>
                <w:sz w:val="18"/>
                <w:szCs w:val="18"/>
                <w:lang w:val="en-GB" w:eastAsia="en-GB"/>
              </w:rPr>
              <w:t>th</w:t>
            </w:r>
            <w:r w:rsidRPr="00A70D82">
              <w:rPr>
                <w:rFonts w:cs="Arial"/>
                <w:b/>
                <w:sz w:val="18"/>
                <w:szCs w:val="18"/>
                <w:lang w:val="en-GB" w:eastAsia="en-GB"/>
              </w:rPr>
              <w:t>ế</w:t>
            </w:r>
            <w:r w:rsidRPr="00A70D82">
              <w:rPr>
                <w:rFonts w:cs="Calibri"/>
                <w:b/>
                <w:sz w:val="18"/>
                <w:szCs w:val="18"/>
                <w:lang w:val="en-GB" w:eastAsia="en-GB"/>
              </w:rPr>
              <w:t xml:space="preserve"> gi</w:t>
            </w:r>
            <w:r w:rsidRPr="00A70D82">
              <w:rPr>
                <w:rFonts w:cs="Arial"/>
                <w:b/>
                <w:sz w:val="18"/>
                <w:szCs w:val="18"/>
                <w:lang w:val="en-GB" w:eastAsia="en-GB"/>
              </w:rPr>
              <w:t>ớ</w:t>
            </w:r>
            <w:r w:rsidRPr="00A70D82">
              <w:rPr>
                <w:rFonts w:cs="Calibri"/>
                <w:b/>
                <w:sz w:val="18"/>
                <w:szCs w:val="18"/>
                <w:lang w:val="en-GB" w:eastAsia="en-GB"/>
              </w:rPr>
              <w:t>i (***)</w:t>
            </w:r>
          </w:p>
        </w:tc>
      </w:tr>
      <w:tr w:rsidR="00A50899" w:rsidRPr="004A2D44" w:rsidTr="00A324B6">
        <w:trPr>
          <w:trHeight w:val="400"/>
        </w:trPr>
        <w:tc>
          <w:tcPr>
            <w:tcW w:w="2250" w:type="pct"/>
            <w:tcBorders>
              <w:top w:val="nil"/>
              <w:left w:val="single" w:sz="4" w:space="0" w:color="auto"/>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rPr>
                <w:lang w:val="en-GB" w:eastAsia="en-GB"/>
              </w:rPr>
            </w:pPr>
            <w:r>
              <w:rPr>
                <w:lang w:val="en-GB" w:eastAsia="en-GB"/>
              </w:rPr>
              <w:t xml:space="preserve">1. </w:t>
            </w:r>
            <w:r w:rsidRPr="004A2D44">
              <w:rPr>
                <w:lang w:val="en-GB" w:eastAsia="en-GB"/>
              </w:rPr>
              <w:t>Đ</w:t>
            </w:r>
            <w:r>
              <w:rPr>
                <w:lang w:val="en-GB" w:eastAsia="en-GB"/>
              </w:rPr>
              <w:t>ại học</w:t>
            </w:r>
            <w:r w:rsidRPr="004A2D44">
              <w:rPr>
                <w:lang w:val="en-GB" w:eastAsia="en-GB"/>
              </w:rPr>
              <w:t xml:space="preserve"> Q</w:t>
            </w:r>
            <w:r>
              <w:rPr>
                <w:lang w:val="en-GB" w:eastAsia="en-GB"/>
              </w:rPr>
              <w:t xml:space="preserve">uốc gia </w:t>
            </w:r>
            <w:r w:rsidRPr="004A2D44">
              <w:rPr>
                <w:lang w:val="en-GB" w:eastAsia="en-GB"/>
              </w:rPr>
              <w:t>Hà N</w:t>
            </w:r>
            <w:r w:rsidRPr="004A2D44">
              <w:rPr>
                <w:rFonts w:cs="Arial"/>
                <w:lang w:val="en-GB" w:eastAsia="en-GB"/>
              </w:rPr>
              <w:t>ộ</w:t>
            </w:r>
            <w:r w:rsidRPr="004A2D44">
              <w:rPr>
                <w:rFonts w:cs="Calibri"/>
                <w:lang w:val="en-GB" w:eastAsia="en-GB"/>
              </w:rPr>
              <w:t>i</w:t>
            </w:r>
          </w:p>
        </w:tc>
        <w:tc>
          <w:tcPr>
            <w:tcW w:w="1023"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97"/>
              <w:jc w:val="right"/>
              <w:rPr>
                <w:lang w:val="en-GB" w:eastAsia="en-GB"/>
              </w:rPr>
            </w:pPr>
            <w:r w:rsidRPr="004A2D44">
              <w:rPr>
                <w:lang w:val="en-GB" w:eastAsia="en-GB"/>
              </w:rPr>
              <w:t>26</w:t>
            </w:r>
          </w:p>
        </w:tc>
        <w:tc>
          <w:tcPr>
            <w:tcW w:w="868"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40"/>
              <w:jc w:val="right"/>
              <w:rPr>
                <w:lang w:val="en-GB" w:eastAsia="en-GB"/>
              </w:rPr>
            </w:pPr>
            <w:r w:rsidRPr="004A2D44">
              <w:rPr>
                <w:lang w:val="en-GB" w:eastAsia="en-GB"/>
              </w:rPr>
              <w:t>301</w:t>
            </w:r>
          </w:p>
        </w:tc>
        <w:tc>
          <w:tcPr>
            <w:tcW w:w="859"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227"/>
              <w:jc w:val="right"/>
              <w:rPr>
                <w:lang w:val="en-GB" w:eastAsia="en-GB"/>
              </w:rPr>
            </w:pPr>
            <w:r w:rsidRPr="004A2D44">
              <w:rPr>
                <w:lang w:val="en-GB" w:eastAsia="en-GB"/>
              </w:rPr>
              <w:t>1226</w:t>
            </w:r>
          </w:p>
        </w:tc>
      </w:tr>
      <w:tr w:rsidR="00A50899" w:rsidRPr="004A2D44" w:rsidTr="00A324B6">
        <w:trPr>
          <w:trHeight w:val="400"/>
        </w:trPr>
        <w:tc>
          <w:tcPr>
            <w:tcW w:w="2250" w:type="pct"/>
            <w:tcBorders>
              <w:top w:val="nil"/>
              <w:left w:val="single" w:sz="4" w:space="0" w:color="auto"/>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rPr>
                <w:lang w:val="en-GB" w:eastAsia="en-GB"/>
              </w:rPr>
            </w:pPr>
            <w:r>
              <w:rPr>
                <w:lang w:val="en-GB" w:eastAsia="en-GB"/>
              </w:rPr>
              <w:t xml:space="preserve">2. </w:t>
            </w:r>
            <w:r w:rsidRPr="004A2D44">
              <w:rPr>
                <w:lang w:val="en-GB" w:eastAsia="en-GB"/>
              </w:rPr>
              <w:t>Đ</w:t>
            </w:r>
            <w:r w:rsidRPr="004A2D44">
              <w:rPr>
                <w:rFonts w:cs="Arial"/>
                <w:lang w:val="en-GB" w:eastAsia="en-GB"/>
              </w:rPr>
              <w:t>ạ</w:t>
            </w:r>
            <w:r w:rsidRPr="004A2D44">
              <w:rPr>
                <w:rFonts w:cs="Calibri"/>
                <w:lang w:val="en-GB" w:eastAsia="en-GB"/>
              </w:rPr>
              <w:t>i h</w:t>
            </w:r>
            <w:r w:rsidRPr="004A2D44">
              <w:rPr>
                <w:rFonts w:cs="Arial"/>
                <w:lang w:val="en-GB" w:eastAsia="en-GB"/>
              </w:rPr>
              <w:t>ọ</w:t>
            </w:r>
            <w:r w:rsidRPr="004A2D44">
              <w:rPr>
                <w:rFonts w:cs="Calibri"/>
                <w:lang w:val="en-GB" w:eastAsia="en-GB"/>
              </w:rPr>
              <w:t>c C</w:t>
            </w:r>
            <w:r w:rsidRPr="004A2D44">
              <w:rPr>
                <w:rFonts w:cs="Arial"/>
                <w:lang w:val="en-GB" w:eastAsia="en-GB"/>
              </w:rPr>
              <w:t>ầ</w:t>
            </w:r>
            <w:r w:rsidRPr="004A2D44">
              <w:rPr>
                <w:rFonts w:cs="Calibri"/>
                <w:lang w:val="en-GB" w:eastAsia="en-GB"/>
              </w:rPr>
              <w:t>n Th</w:t>
            </w:r>
            <w:r w:rsidRPr="004A2D44">
              <w:rPr>
                <w:rFonts w:cs="Arial"/>
                <w:lang w:val="en-GB" w:eastAsia="en-GB"/>
              </w:rPr>
              <w:t>ơ</w:t>
            </w:r>
          </w:p>
        </w:tc>
        <w:tc>
          <w:tcPr>
            <w:tcW w:w="1023"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97"/>
              <w:jc w:val="right"/>
              <w:rPr>
                <w:lang w:val="en-GB" w:eastAsia="en-GB"/>
              </w:rPr>
            </w:pPr>
            <w:r w:rsidRPr="004A2D44">
              <w:rPr>
                <w:lang w:val="en-GB" w:eastAsia="en-GB"/>
              </w:rPr>
              <w:t>39</w:t>
            </w:r>
          </w:p>
        </w:tc>
        <w:tc>
          <w:tcPr>
            <w:tcW w:w="868"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40"/>
              <w:jc w:val="right"/>
              <w:rPr>
                <w:lang w:val="en-GB" w:eastAsia="en-GB"/>
              </w:rPr>
            </w:pPr>
            <w:r w:rsidRPr="004A2D44">
              <w:rPr>
                <w:lang w:val="en-GB" w:eastAsia="en-GB"/>
              </w:rPr>
              <w:t>455</w:t>
            </w:r>
          </w:p>
        </w:tc>
        <w:tc>
          <w:tcPr>
            <w:tcW w:w="859"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227"/>
              <w:jc w:val="right"/>
              <w:rPr>
                <w:lang w:val="en-GB" w:eastAsia="en-GB"/>
              </w:rPr>
            </w:pPr>
            <w:r w:rsidRPr="004A2D44">
              <w:rPr>
                <w:lang w:val="en-GB" w:eastAsia="en-GB"/>
              </w:rPr>
              <w:t>1661</w:t>
            </w:r>
          </w:p>
        </w:tc>
      </w:tr>
      <w:tr w:rsidR="00A50899" w:rsidRPr="004A2D44" w:rsidTr="00A324B6">
        <w:trPr>
          <w:trHeight w:val="400"/>
        </w:trPr>
        <w:tc>
          <w:tcPr>
            <w:tcW w:w="2250" w:type="pct"/>
            <w:tcBorders>
              <w:top w:val="nil"/>
              <w:left w:val="single" w:sz="4" w:space="0" w:color="auto"/>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rPr>
                <w:lang w:val="en-GB" w:eastAsia="en-GB"/>
              </w:rPr>
            </w:pPr>
            <w:r>
              <w:rPr>
                <w:lang w:val="en-GB" w:eastAsia="en-GB"/>
              </w:rPr>
              <w:t xml:space="preserve">3. </w:t>
            </w:r>
            <w:r w:rsidRPr="004A2D44">
              <w:rPr>
                <w:lang w:val="en-GB" w:eastAsia="en-GB"/>
              </w:rPr>
              <w:t>Tr</w:t>
            </w:r>
            <w:r w:rsidRPr="004A2D44">
              <w:rPr>
                <w:rFonts w:cs="Arial"/>
                <w:lang w:val="en-GB" w:eastAsia="en-GB"/>
              </w:rPr>
              <w:t>ườ</w:t>
            </w:r>
            <w:r w:rsidRPr="004A2D44">
              <w:rPr>
                <w:rFonts w:cs="Calibri"/>
                <w:lang w:val="en-GB" w:eastAsia="en-GB"/>
              </w:rPr>
              <w:t xml:space="preserve">ng </w:t>
            </w:r>
            <w:r w:rsidRPr="004A2D44">
              <w:rPr>
                <w:lang w:val="en-GB" w:eastAsia="en-GB"/>
              </w:rPr>
              <w:t>Đ</w:t>
            </w:r>
            <w:r>
              <w:rPr>
                <w:lang w:val="en-GB" w:eastAsia="en-GB"/>
              </w:rPr>
              <w:t>ại học</w:t>
            </w:r>
            <w:r w:rsidRPr="004A2D44">
              <w:rPr>
                <w:rFonts w:cs="Calibri"/>
                <w:lang w:val="en-GB" w:eastAsia="en-GB"/>
              </w:rPr>
              <w:t xml:space="preserve"> Bách khoa H</w:t>
            </w:r>
            <w:r>
              <w:rPr>
                <w:rFonts w:cs="Calibri"/>
                <w:lang w:val="en-GB" w:eastAsia="en-GB"/>
              </w:rPr>
              <w:t xml:space="preserve">à </w:t>
            </w:r>
            <w:r w:rsidRPr="004A2D44">
              <w:rPr>
                <w:rFonts w:cs="Calibri"/>
                <w:lang w:val="en-GB" w:eastAsia="en-GB"/>
              </w:rPr>
              <w:t>N</w:t>
            </w:r>
            <w:r>
              <w:rPr>
                <w:rFonts w:cs="Calibri"/>
                <w:lang w:val="en-GB" w:eastAsia="en-GB"/>
              </w:rPr>
              <w:t>ội</w:t>
            </w:r>
          </w:p>
        </w:tc>
        <w:tc>
          <w:tcPr>
            <w:tcW w:w="1023"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97"/>
              <w:jc w:val="right"/>
              <w:rPr>
                <w:lang w:val="en-GB" w:eastAsia="en-GB"/>
              </w:rPr>
            </w:pPr>
            <w:r w:rsidRPr="004A2D44">
              <w:rPr>
                <w:lang w:val="en-GB" w:eastAsia="en-GB"/>
              </w:rPr>
              <w:t>47</w:t>
            </w:r>
          </w:p>
        </w:tc>
        <w:tc>
          <w:tcPr>
            <w:tcW w:w="868"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40"/>
              <w:jc w:val="right"/>
              <w:rPr>
                <w:lang w:val="en-GB" w:eastAsia="en-GB"/>
              </w:rPr>
            </w:pPr>
            <w:r w:rsidRPr="004A2D44">
              <w:rPr>
                <w:lang w:val="en-GB" w:eastAsia="en-GB"/>
              </w:rPr>
              <w:t>559</w:t>
            </w:r>
          </w:p>
        </w:tc>
        <w:tc>
          <w:tcPr>
            <w:tcW w:w="859"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227"/>
              <w:jc w:val="right"/>
              <w:rPr>
                <w:lang w:val="en-GB" w:eastAsia="en-GB"/>
              </w:rPr>
            </w:pPr>
            <w:r w:rsidRPr="004A2D44">
              <w:rPr>
                <w:lang w:val="en-GB" w:eastAsia="en-GB"/>
              </w:rPr>
              <w:t>1963</w:t>
            </w:r>
          </w:p>
        </w:tc>
      </w:tr>
      <w:tr w:rsidR="00A50899" w:rsidRPr="004A2D44" w:rsidTr="00A324B6">
        <w:trPr>
          <w:trHeight w:val="400"/>
        </w:trPr>
        <w:tc>
          <w:tcPr>
            <w:tcW w:w="2250" w:type="pct"/>
            <w:tcBorders>
              <w:top w:val="nil"/>
              <w:left w:val="single" w:sz="4" w:space="0" w:color="auto"/>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rPr>
                <w:lang w:val="en-GB" w:eastAsia="en-GB"/>
              </w:rPr>
            </w:pPr>
            <w:r>
              <w:rPr>
                <w:lang w:val="en-GB" w:eastAsia="en-GB"/>
              </w:rPr>
              <w:t xml:space="preserve">4. </w:t>
            </w:r>
            <w:r w:rsidRPr="004A2D44">
              <w:rPr>
                <w:lang w:val="en-GB" w:eastAsia="en-GB"/>
              </w:rPr>
              <w:t>Tr</w:t>
            </w:r>
            <w:r w:rsidRPr="004A2D44">
              <w:rPr>
                <w:rFonts w:cs="Arial"/>
                <w:lang w:val="en-GB" w:eastAsia="en-GB"/>
              </w:rPr>
              <w:t>ườ</w:t>
            </w:r>
            <w:r w:rsidRPr="004A2D44">
              <w:rPr>
                <w:rFonts w:cs="Calibri"/>
                <w:lang w:val="en-GB" w:eastAsia="en-GB"/>
              </w:rPr>
              <w:t xml:space="preserve">ng </w:t>
            </w:r>
            <w:r w:rsidRPr="004A2D44">
              <w:rPr>
                <w:lang w:val="en-GB" w:eastAsia="en-GB"/>
              </w:rPr>
              <w:t>Đ</w:t>
            </w:r>
            <w:r>
              <w:rPr>
                <w:lang w:val="en-GB" w:eastAsia="en-GB"/>
              </w:rPr>
              <w:t>ại học</w:t>
            </w:r>
            <w:r w:rsidRPr="004A2D44">
              <w:rPr>
                <w:rFonts w:cs="Calibri"/>
                <w:lang w:val="en-GB" w:eastAsia="en-GB"/>
              </w:rPr>
              <w:t xml:space="preserve"> S</w:t>
            </w:r>
            <w:r w:rsidRPr="004A2D44">
              <w:rPr>
                <w:rFonts w:cs="Arial"/>
                <w:lang w:val="en-GB" w:eastAsia="en-GB"/>
              </w:rPr>
              <w:t>ư</w:t>
            </w:r>
            <w:r w:rsidRPr="004A2D44">
              <w:rPr>
                <w:rFonts w:cs="Calibri"/>
                <w:lang w:val="en-GB" w:eastAsia="en-GB"/>
              </w:rPr>
              <w:t xml:space="preserve"> ph</w:t>
            </w:r>
            <w:r w:rsidRPr="004A2D44">
              <w:rPr>
                <w:rFonts w:cs="Arial"/>
                <w:lang w:val="en-GB" w:eastAsia="en-GB"/>
              </w:rPr>
              <w:t>ạ</w:t>
            </w:r>
            <w:r w:rsidRPr="004A2D44">
              <w:rPr>
                <w:rFonts w:cs="Calibri"/>
                <w:lang w:val="en-GB" w:eastAsia="en-GB"/>
              </w:rPr>
              <w:t xml:space="preserve">m </w:t>
            </w:r>
            <w:r w:rsidRPr="004A2D44">
              <w:rPr>
                <w:lang w:val="en-GB" w:eastAsia="en-GB"/>
              </w:rPr>
              <w:t>H</w:t>
            </w:r>
            <w:r>
              <w:rPr>
                <w:lang w:val="en-GB" w:eastAsia="en-GB"/>
              </w:rPr>
              <w:t xml:space="preserve">à </w:t>
            </w:r>
            <w:r w:rsidRPr="004A2D44">
              <w:rPr>
                <w:lang w:val="en-GB" w:eastAsia="en-GB"/>
              </w:rPr>
              <w:t>N</w:t>
            </w:r>
            <w:r>
              <w:rPr>
                <w:lang w:val="en-GB" w:eastAsia="en-GB"/>
              </w:rPr>
              <w:t>ội</w:t>
            </w:r>
          </w:p>
        </w:tc>
        <w:tc>
          <w:tcPr>
            <w:tcW w:w="1023"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97"/>
              <w:jc w:val="right"/>
              <w:rPr>
                <w:lang w:val="en-GB" w:eastAsia="en-GB"/>
              </w:rPr>
            </w:pPr>
            <w:r w:rsidRPr="004A2D44">
              <w:rPr>
                <w:lang w:val="en-GB" w:eastAsia="en-GB"/>
              </w:rPr>
              <w:t>60</w:t>
            </w:r>
          </w:p>
        </w:tc>
        <w:tc>
          <w:tcPr>
            <w:tcW w:w="868"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40"/>
              <w:jc w:val="right"/>
              <w:rPr>
                <w:lang w:val="en-GB" w:eastAsia="en-GB"/>
              </w:rPr>
            </w:pPr>
            <w:r w:rsidRPr="004A2D44">
              <w:rPr>
                <w:lang w:val="en-GB" w:eastAsia="en-GB"/>
              </w:rPr>
              <w:t>663</w:t>
            </w:r>
          </w:p>
        </w:tc>
        <w:tc>
          <w:tcPr>
            <w:tcW w:w="859"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227"/>
              <w:jc w:val="right"/>
              <w:rPr>
                <w:lang w:val="en-GB" w:eastAsia="en-GB"/>
              </w:rPr>
            </w:pPr>
            <w:r w:rsidRPr="004A2D44">
              <w:rPr>
                <w:lang w:val="en-GB" w:eastAsia="en-GB"/>
              </w:rPr>
              <w:t>2181</w:t>
            </w:r>
          </w:p>
        </w:tc>
      </w:tr>
      <w:tr w:rsidR="00A50899" w:rsidRPr="004A2D44" w:rsidTr="00A324B6">
        <w:trPr>
          <w:trHeight w:val="400"/>
        </w:trPr>
        <w:tc>
          <w:tcPr>
            <w:tcW w:w="2250" w:type="pct"/>
            <w:tcBorders>
              <w:top w:val="nil"/>
              <w:left w:val="single" w:sz="4" w:space="0" w:color="auto"/>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rPr>
                <w:lang w:val="en-GB" w:eastAsia="en-GB"/>
              </w:rPr>
            </w:pPr>
            <w:r>
              <w:rPr>
                <w:lang w:val="en-GB" w:eastAsia="en-GB"/>
              </w:rPr>
              <w:t xml:space="preserve">5. </w:t>
            </w:r>
            <w:r w:rsidRPr="004A2D44">
              <w:rPr>
                <w:lang w:val="en-GB" w:eastAsia="en-GB"/>
              </w:rPr>
              <w:t>Đ</w:t>
            </w:r>
            <w:r>
              <w:rPr>
                <w:lang w:val="en-GB" w:eastAsia="en-GB"/>
              </w:rPr>
              <w:t>ại học Quốc gia</w:t>
            </w:r>
            <w:r w:rsidRPr="004A2D44">
              <w:rPr>
                <w:lang w:val="en-GB" w:eastAsia="en-GB"/>
              </w:rPr>
              <w:t xml:space="preserve"> T</w:t>
            </w:r>
            <w:r>
              <w:rPr>
                <w:lang w:val="en-GB" w:eastAsia="en-GB"/>
              </w:rPr>
              <w:t>P</w:t>
            </w:r>
            <w:r w:rsidRPr="004A2D44">
              <w:rPr>
                <w:lang w:val="en-GB" w:eastAsia="en-GB"/>
              </w:rPr>
              <w:t>. H</w:t>
            </w:r>
            <w:r>
              <w:rPr>
                <w:lang w:val="en-GB" w:eastAsia="en-GB"/>
              </w:rPr>
              <w:t>ồ Chí Minh</w:t>
            </w:r>
          </w:p>
        </w:tc>
        <w:tc>
          <w:tcPr>
            <w:tcW w:w="1023"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97"/>
              <w:jc w:val="right"/>
              <w:rPr>
                <w:lang w:val="en-GB" w:eastAsia="en-GB"/>
              </w:rPr>
            </w:pPr>
            <w:r w:rsidRPr="004A2D44">
              <w:rPr>
                <w:lang w:val="en-GB" w:eastAsia="en-GB"/>
              </w:rPr>
              <w:t>66</w:t>
            </w:r>
          </w:p>
        </w:tc>
        <w:tc>
          <w:tcPr>
            <w:tcW w:w="868"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40"/>
              <w:jc w:val="right"/>
              <w:rPr>
                <w:lang w:val="en-GB" w:eastAsia="en-GB"/>
              </w:rPr>
            </w:pPr>
            <w:r w:rsidRPr="004A2D44">
              <w:rPr>
                <w:lang w:val="en-GB" w:eastAsia="en-GB"/>
              </w:rPr>
              <w:t>714</w:t>
            </w:r>
          </w:p>
        </w:tc>
        <w:tc>
          <w:tcPr>
            <w:tcW w:w="859"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227"/>
              <w:jc w:val="right"/>
              <w:rPr>
                <w:lang w:val="en-GB" w:eastAsia="en-GB"/>
              </w:rPr>
            </w:pPr>
            <w:r w:rsidRPr="004A2D44">
              <w:rPr>
                <w:lang w:val="en-GB" w:eastAsia="en-GB"/>
              </w:rPr>
              <w:t>2300</w:t>
            </w:r>
          </w:p>
        </w:tc>
      </w:tr>
      <w:tr w:rsidR="00A50899" w:rsidRPr="004A2D44" w:rsidTr="00A324B6">
        <w:trPr>
          <w:trHeight w:val="400"/>
        </w:trPr>
        <w:tc>
          <w:tcPr>
            <w:tcW w:w="2250" w:type="pct"/>
            <w:tcBorders>
              <w:top w:val="nil"/>
              <w:left w:val="single" w:sz="4" w:space="0" w:color="auto"/>
              <w:bottom w:val="single" w:sz="4" w:space="0" w:color="auto"/>
              <w:right w:val="single" w:sz="4" w:space="0" w:color="auto"/>
            </w:tcBorders>
            <w:shd w:val="clear" w:color="auto" w:fill="auto"/>
            <w:noWrap/>
            <w:vAlign w:val="bottom"/>
          </w:tcPr>
          <w:p w:rsidR="00320ECA" w:rsidRDefault="00A50899" w:rsidP="00A324B6">
            <w:pPr>
              <w:pStyle w:val="Bang2"/>
              <w:spacing w:before="100"/>
              <w:rPr>
                <w:rFonts w:cs="Calibri"/>
                <w:lang w:val="en-GB" w:eastAsia="en-GB"/>
              </w:rPr>
            </w:pPr>
            <w:r>
              <w:rPr>
                <w:lang w:val="en-GB" w:eastAsia="en-GB"/>
              </w:rPr>
              <w:t xml:space="preserve">6. </w:t>
            </w:r>
            <w:r w:rsidRPr="004A2D44">
              <w:rPr>
                <w:lang w:val="en-GB" w:eastAsia="en-GB"/>
              </w:rPr>
              <w:t>Tr</w:t>
            </w:r>
            <w:r w:rsidRPr="004A2D44">
              <w:rPr>
                <w:rFonts w:cs="Arial"/>
                <w:lang w:val="en-GB" w:eastAsia="en-GB"/>
              </w:rPr>
              <w:t>ườ</w:t>
            </w:r>
            <w:r w:rsidRPr="004A2D44">
              <w:rPr>
                <w:rFonts w:cs="Calibri"/>
                <w:lang w:val="en-GB" w:eastAsia="en-GB"/>
              </w:rPr>
              <w:t xml:space="preserve">ng </w:t>
            </w:r>
            <w:r w:rsidRPr="004A2D44">
              <w:rPr>
                <w:lang w:val="en-GB" w:eastAsia="en-GB"/>
              </w:rPr>
              <w:t>Đ</w:t>
            </w:r>
            <w:r>
              <w:rPr>
                <w:lang w:val="en-GB" w:eastAsia="en-GB"/>
              </w:rPr>
              <w:t>ại học</w:t>
            </w:r>
            <w:r w:rsidRPr="004A2D44">
              <w:rPr>
                <w:rFonts w:cs="Calibri"/>
                <w:lang w:val="en-GB" w:eastAsia="en-GB"/>
              </w:rPr>
              <w:t xml:space="preserve"> Nông Lâm </w:t>
            </w:r>
          </w:p>
          <w:p w:rsidR="00A50899" w:rsidRPr="004A2D44" w:rsidRDefault="00A50899" w:rsidP="00A324B6">
            <w:pPr>
              <w:pStyle w:val="Bang2"/>
              <w:spacing w:before="100"/>
              <w:rPr>
                <w:lang w:val="en-GB" w:eastAsia="en-GB"/>
              </w:rPr>
            </w:pPr>
            <w:r>
              <w:rPr>
                <w:rFonts w:cs="Calibri"/>
                <w:lang w:val="en-GB" w:eastAsia="en-GB"/>
              </w:rPr>
              <w:t xml:space="preserve">    </w:t>
            </w:r>
            <w:r w:rsidRPr="004A2D44">
              <w:rPr>
                <w:rFonts w:cs="Calibri"/>
                <w:lang w:val="en-GB" w:eastAsia="en-GB"/>
              </w:rPr>
              <w:t>T</w:t>
            </w:r>
            <w:r>
              <w:rPr>
                <w:rFonts w:cs="Calibri"/>
                <w:lang w:val="en-GB" w:eastAsia="en-GB"/>
              </w:rPr>
              <w:t>P</w:t>
            </w:r>
            <w:r w:rsidRPr="004A2D44">
              <w:rPr>
                <w:rFonts w:cs="Calibri"/>
                <w:lang w:val="en-GB" w:eastAsia="en-GB"/>
              </w:rPr>
              <w:t xml:space="preserve">. </w:t>
            </w:r>
            <w:r w:rsidRPr="004A2D44">
              <w:rPr>
                <w:lang w:val="en-GB" w:eastAsia="en-GB"/>
              </w:rPr>
              <w:t>H</w:t>
            </w:r>
            <w:r>
              <w:rPr>
                <w:lang w:val="en-GB" w:eastAsia="en-GB"/>
              </w:rPr>
              <w:t>ồ Chí Minh</w:t>
            </w:r>
          </w:p>
        </w:tc>
        <w:tc>
          <w:tcPr>
            <w:tcW w:w="1023"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97"/>
              <w:jc w:val="right"/>
              <w:rPr>
                <w:lang w:val="en-GB" w:eastAsia="en-GB"/>
              </w:rPr>
            </w:pPr>
            <w:r w:rsidRPr="004A2D44">
              <w:rPr>
                <w:lang w:val="en-GB" w:eastAsia="en-GB"/>
              </w:rPr>
              <w:t>80</w:t>
            </w:r>
          </w:p>
        </w:tc>
        <w:tc>
          <w:tcPr>
            <w:tcW w:w="868"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40"/>
              <w:jc w:val="right"/>
              <w:rPr>
                <w:lang w:val="en-GB" w:eastAsia="en-GB"/>
              </w:rPr>
            </w:pPr>
            <w:r w:rsidRPr="004A2D44">
              <w:rPr>
                <w:lang w:val="en-GB" w:eastAsia="en-GB"/>
              </w:rPr>
              <w:t>824</w:t>
            </w:r>
          </w:p>
        </w:tc>
        <w:tc>
          <w:tcPr>
            <w:tcW w:w="859"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227"/>
              <w:jc w:val="right"/>
              <w:rPr>
                <w:lang w:val="en-GB" w:eastAsia="en-GB"/>
              </w:rPr>
            </w:pPr>
            <w:r w:rsidRPr="004A2D44">
              <w:rPr>
                <w:lang w:val="en-GB" w:eastAsia="en-GB"/>
              </w:rPr>
              <w:t>2595</w:t>
            </w:r>
          </w:p>
        </w:tc>
      </w:tr>
      <w:tr w:rsidR="00A50899" w:rsidRPr="004A2D44" w:rsidTr="00A324B6">
        <w:trPr>
          <w:trHeight w:val="400"/>
        </w:trPr>
        <w:tc>
          <w:tcPr>
            <w:tcW w:w="2250" w:type="pct"/>
            <w:tcBorders>
              <w:top w:val="nil"/>
              <w:left w:val="single" w:sz="4" w:space="0" w:color="auto"/>
              <w:bottom w:val="single" w:sz="4" w:space="0" w:color="auto"/>
              <w:right w:val="single" w:sz="4" w:space="0" w:color="auto"/>
            </w:tcBorders>
            <w:shd w:val="clear" w:color="auto" w:fill="auto"/>
            <w:noWrap/>
            <w:vAlign w:val="bottom"/>
          </w:tcPr>
          <w:p w:rsidR="00320ECA" w:rsidRDefault="00A50899" w:rsidP="00A324B6">
            <w:pPr>
              <w:pStyle w:val="Bang2"/>
              <w:spacing w:before="100"/>
              <w:rPr>
                <w:rFonts w:cs="Calibri"/>
                <w:lang w:val="en-GB" w:eastAsia="en-GB"/>
              </w:rPr>
            </w:pPr>
            <w:r>
              <w:rPr>
                <w:lang w:val="en-GB" w:eastAsia="en-GB"/>
              </w:rPr>
              <w:t xml:space="preserve">7. </w:t>
            </w:r>
            <w:r w:rsidRPr="004A2D44">
              <w:rPr>
                <w:lang w:val="en-GB" w:eastAsia="en-GB"/>
              </w:rPr>
              <w:t>Tr</w:t>
            </w:r>
            <w:r w:rsidRPr="004A2D44">
              <w:rPr>
                <w:rFonts w:cs="Arial"/>
                <w:lang w:val="en-GB" w:eastAsia="en-GB"/>
              </w:rPr>
              <w:t>ườ</w:t>
            </w:r>
            <w:r w:rsidRPr="004A2D44">
              <w:rPr>
                <w:rFonts w:cs="Calibri"/>
                <w:lang w:val="en-GB" w:eastAsia="en-GB"/>
              </w:rPr>
              <w:t xml:space="preserve">ng </w:t>
            </w:r>
            <w:r w:rsidRPr="004A2D44">
              <w:rPr>
                <w:lang w:val="en-GB" w:eastAsia="en-GB"/>
              </w:rPr>
              <w:t>Đ</w:t>
            </w:r>
            <w:r>
              <w:rPr>
                <w:lang w:val="en-GB" w:eastAsia="en-GB"/>
              </w:rPr>
              <w:t>ại học</w:t>
            </w:r>
            <w:r w:rsidRPr="004A2D44">
              <w:rPr>
                <w:rFonts w:cs="Calibri"/>
                <w:lang w:val="en-GB" w:eastAsia="en-GB"/>
              </w:rPr>
              <w:t xml:space="preserve"> Bách khoa </w:t>
            </w:r>
          </w:p>
          <w:p w:rsidR="00A50899" w:rsidRPr="004A2D44" w:rsidRDefault="00A50899" w:rsidP="00A324B6">
            <w:pPr>
              <w:pStyle w:val="Bang2"/>
              <w:spacing w:before="100"/>
              <w:rPr>
                <w:lang w:val="en-GB" w:eastAsia="en-GB"/>
              </w:rPr>
            </w:pPr>
            <w:r>
              <w:rPr>
                <w:rFonts w:cs="Calibri"/>
                <w:lang w:val="en-GB" w:eastAsia="en-GB"/>
              </w:rPr>
              <w:t xml:space="preserve">    </w:t>
            </w:r>
            <w:r w:rsidRPr="004A2D44">
              <w:rPr>
                <w:rFonts w:cs="Calibri"/>
                <w:lang w:val="en-GB" w:eastAsia="en-GB"/>
              </w:rPr>
              <w:t>T</w:t>
            </w:r>
            <w:r>
              <w:rPr>
                <w:rFonts w:cs="Calibri"/>
                <w:lang w:val="en-GB" w:eastAsia="en-GB"/>
              </w:rPr>
              <w:t>P</w:t>
            </w:r>
            <w:r w:rsidRPr="004A2D44">
              <w:rPr>
                <w:rFonts w:cs="Calibri"/>
                <w:lang w:val="en-GB" w:eastAsia="en-GB"/>
              </w:rPr>
              <w:t xml:space="preserve">. </w:t>
            </w:r>
            <w:r w:rsidRPr="004A2D44">
              <w:rPr>
                <w:lang w:val="en-GB" w:eastAsia="en-GB"/>
              </w:rPr>
              <w:t>H</w:t>
            </w:r>
            <w:r>
              <w:rPr>
                <w:lang w:val="en-GB" w:eastAsia="en-GB"/>
              </w:rPr>
              <w:t>ồ Chí Minh</w:t>
            </w:r>
          </w:p>
        </w:tc>
        <w:tc>
          <w:tcPr>
            <w:tcW w:w="1023"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97"/>
              <w:jc w:val="right"/>
              <w:rPr>
                <w:lang w:val="en-GB" w:eastAsia="en-GB"/>
              </w:rPr>
            </w:pPr>
            <w:r w:rsidRPr="004A2D44">
              <w:rPr>
                <w:lang w:val="en-GB" w:eastAsia="en-GB"/>
              </w:rPr>
              <w:t>86</w:t>
            </w:r>
          </w:p>
        </w:tc>
        <w:tc>
          <w:tcPr>
            <w:tcW w:w="868"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40"/>
              <w:jc w:val="right"/>
              <w:rPr>
                <w:lang w:val="en-GB" w:eastAsia="en-GB"/>
              </w:rPr>
            </w:pPr>
            <w:r w:rsidRPr="004A2D44">
              <w:rPr>
                <w:lang w:val="en-GB" w:eastAsia="en-GB"/>
              </w:rPr>
              <w:t>872</w:t>
            </w:r>
          </w:p>
        </w:tc>
        <w:tc>
          <w:tcPr>
            <w:tcW w:w="859"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227"/>
              <w:jc w:val="right"/>
              <w:rPr>
                <w:lang w:val="en-GB" w:eastAsia="en-GB"/>
              </w:rPr>
            </w:pPr>
            <w:r w:rsidRPr="004A2D44">
              <w:rPr>
                <w:lang w:val="en-GB" w:eastAsia="en-GB"/>
              </w:rPr>
              <w:t>2713</w:t>
            </w:r>
          </w:p>
        </w:tc>
      </w:tr>
      <w:tr w:rsidR="00A50899" w:rsidRPr="004A2D44" w:rsidTr="00A324B6">
        <w:trPr>
          <w:trHeight w:val="400"/>
        </w:trPr>
        <w:tc>
          <w:tcPr>
            <w:tcW w:w="2250" w:type="pct"/>
            <w:tcBorders>
              <w:top w:val="nil"/>
              <w:left w:val="single" w:sz="4" w:space="0" w:color="auto"/>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rPr>
                <w:lang w:val="en-GB" w:eastAsia="en-GB"/>
              </w:rPr>
            </w:pPr>
            <w:r>
              <w:rPr>
                <w:lang w:val="en-GB" w:eastAsia="en-GB"/>
              </w:rPr>
              <w:t xml:space="preserve">8. </w:t>
            </w:r>
            <w:r w:rsidRPr="004A2D44">
              <w:rPr>
                <w:lang w:val="en-GB" w:eastAsia="en-GB"/>
              </w:rPr>
              <w:t>Tr</w:t>
            </w:r>
            <w:r w:rsidRPr="004A2D44">
              <w:rPr>
                <w:rFonts w:cs="Arial"/>
                <w:lang w:val="en-GB" w:eastAsia="en-GB"/>
              </w:rPr>
              <w:t>ườ</w:t>
            </w:r>
            <w:r w:rsidRPr="004A2D44">
              <w:rPr>
                <w:rFonts w:cs="Calibri"/>
                <w:lang w:val="en-GB" w:eastAsia="en-GB"/>
              </w:rPr>
              <w:t xml:space="preserve">ng </w:t>
            </w:r>
            <w:r w:rsidRPr="004A2D44">
              <w:rPr>
                <w:lang w:val="en-GB" w:eastAsia="en-GB"/>
              </w:rPr>
              <w:t>Đ</w:t>
            </w:r>
            <w:r>
              <w:rPr>
                <w:lang w:val="en-GB" w:eastAsia="en-GB"/>
              </w:rPr>
              <w:t>ại học</w:t>
            </w:r>
            <w:r w:rsidRPr="004A2D44">
              <w:rPr>
                <w:rFonts w:cs="Calibri"/>
                <w:lang w:val="en-GB" w:eastAsia="en-GB"/>
              </w:rPr>
              <w:t xml:space="preserve"> Trà Vinh</w:t>
            </w:r>
          </w:p>
        </w:tc>
        <w:tc>
          <w:tcPr>
            <w:tcW w:w="1023"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97"/>
              <w:jc w:val="right"/>
              <w:rPr>
                <w:lang w:val="en-GB" w:eastAsia="en-GB"/>
              </w:rPr>
            </w:pPr>
            <w:r w:rsidRPr="004A2D44">
              <w:rPr>
                <w:lang w:val="en-GB" w:eastAsia="en-GB"/>
              </w:rPr>
              <w:t>100</w:t>
            </w:r>
          </w:p>
        </w:tc>
        <w:tc>
          <w:tcPr>
            <w:tcW w:w="868"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40"/>
              <w:jc w:val="right"/>
              <w:rPr>
                <w:lang w:val="en-GB" w:eastAsia="en-GB"/>
              </w:rPr>
            </w:pPr>
            <w:r w:rsidRPr="004A2D44">
              <w:rPr>
                <w:lang w:val="en-GB" w:eastAsia="en-GB"/>
              </w:rPr>
              <w:t>976</w:t>
            </w:r>
          </w:p>
        </w:tc>
        <w:tc>
          <w:tcPr>
            <w:tcW w:w="859"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227"/>
              <w:jc w:val="right"/>
              <w:rPr>
                <w:lang w:val="en-GB" w:eastAsia="en-GB"/>
              </w:rPr>
            </w:pPr>
            <w:r w:rsidRPr="004A2D44">
              <w:rPr>
                <w:lang w:val="en-GB" w:eastAsia="en-GB"/>
              </w:rPr>
              <w:t>2979</w:t>
            </w:r>
          </w:p>
        </w:tc>
      </w:tr>
      <w:tr w:rsidR="00A50899" w:rsidRPr="004A2D44" w:rsidTr="00A324B6">
        <w:trPr>
          <w:trHeight w:val="400"/>
        </w:trPr>
        <w:tc>
          <w:tcPr>
            <w:tcW w:w="2250" w:type="pct"/>
            <w:tcBorders>
              <w:top w:val="nil"/>
              <w:left w:val="single" w:sz="4" w:space="0" w:color="auto"/>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rPr>
                <w:lang w:val="en-GB" w:eastAsia="en-GB"/>
              </w:rPr>
            </w:pPr>
            <w:r>
              <w:rPr>
                <w:lang w:val="en-GB" w:eastAsia="en-GB"/>
              </w:rPr>
              <w:t xml:space="preserve">9. </w:t>
            </w:r>
            <w:r w:rsidRPr="004A2D44">
              <w:rPr>
                <w:lang w:val="en-GB" w:eastAsia="en-GB"/>
              </w:rPr>
              <w:t>Đ</w:t>
            </w:r>
            <w:r w:rsidRPr="004A2D44">
              <w:rPr>
                <w:rFonts w:cs="Arial"/>
                <w:lang w:val="en-GB" w:eastAsia="en-GB"/>
              </w:rPr>
              <w:t>ạ</w:t>
            </w:r>
            <w:r w:rsidRPr="004A2D44">
              <w:rPr>
                <w:rFonts w:cs="Calibri"/>
                <w:lang w:val="en-GB" w:eastAsia="en-GB"/>
              </w:rPr>
              <w:t>i h</w:t>
            </w:r>
            <w:r w:rsidRPr="004A2D44">
              <w:rPr>
                <w:rFonts w:cs="Arial"/>
                <w:lang w:val="en-GB" w:eastAsia="en-GB"/>
              </w:rPr>
              <w:t>ọ</w:t>
            </w:r>
            <w:r w:rsidRPr="004A2D44">
              <w:rPr>
                <w:rFonts w:cs="Calibri"/>
                <w:lang w:val="en-GB" w:eastAsia="en-GB"/>
              </w:rPr>
              <w:t>c Đà N</w:t>
            </w:r>
            <w:r w:rsidRPr="004A2D44">
              <w:rPr>
                <w:rFonts w:cs="Arial"/>
                <w:lang w:val="en-GB" w:eastAsia="en-GB"/>
              </w:rPr>
              <w:t>ẵ</w:t>
            </w:r>
            <w:r w:rsidRPr="004A2D44">
              <w:rPr>
                <w:rFonts w:cs="Calibri"/>
                <w:lang w:val="en-GB" w:eastAsia="en-GB"/>
              </w:rPr>
              <w:t>ng</w:t>
            </w:r>
          </w:p>
        </w:tc>
        <w:tc>
          <w:tcPr>
            <w:tcW w:w="1023"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97"/>
              <w:jc w:val="right"/>
              <w:rPr>
                <w:lang w:val="en-GB" w:eastAsia="en-GB"/>
              </w:rPr>
            </w:pPr>
            <w:r w:rsidRPr="004A2D44">
              <w:rPr>
                <w:lang w:val="en-GB" w:eastAsia="en-GB"/>
              </w:rPr>
              <w:t>101</w:t>
            </w:r>
          </w:p>
        </w:tc>
        <w:tc>
          <w:tcPr>
            <w:tcW w:w="868"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40"/>
              <w:jc w:val="right"/>
              <w:rPr>
                <w:lang w:val="en-GB" w:eastAsia="en-GB"/>
              </w:rPr>
            </w:pPr>
            <w:r w:rsidRPr="004A2D44">
              <w:rPr>
                <w:lang w:val="en-GB" w:eastAsia="en-GB"/>
              </w:rPr>
              <w:t>982</w:t>
            </w:r>
          </w:p>
        </w:tc>
        <w:tc>
          <w:tcPr>
            <w:tcW w:w="859"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227"/>
              <w:jc w:val="right"/>
              <w:rPr>
                <w:lang w:val="en-GB" w:eastAsia="en-GB"/>
              </w:rPr>
            </w:pPr>
            <w:r w:rsidRPr="004A2D44">
              <w:rPr>
                <w:lang w:val="en-GB" w:eastAsia="en-GB"/>
              </w:rPr>
              <w:t>2997</w:t>
            </w:r>
          </w:p>
        </w:tc>
      </w:tr>
      <w:tr w:rsidR="00A50899" w:rsidRPr="004A2D44" w:rsidTr="00A324B6">
        <w:trPr>
          <w:trHeight w:val="400"/>
        </w:trPr>
        <w:tc>
          <w:tcPr>
            <w:tcW w:w="2250" w:type="pct"/>
            <w:tcBorders>
              <w:top w:val="nil"/>
              <w:left w:val="single" w:sz="4" w:space="0" w:color="auto"/>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rPr>
                <w:lang w:val="en-GB" w:eastAsia="en-GB"/>
              </w:rPr>
            </w:pPr>
            <w:r>
              <w:rPr>
                <w:lang w:val="en-GB" w:eastAsia="en-GB"/>
              </w:rPr>
              <w:t xml:space="preserve">10. </w:t>
            </w:r>
            <w:r w:rsidRPr="004A2D44">
              <w:rPr>
                <w:lang w:val="en-GB" w:eastAsia="en-GB"/>
              </w:rPr>
              <w:t>Đ</w:t>
            </w:r>
            <w:r w:rsidRPr="004A2D44">
              <w:rPr>
                <w:rFonts w:cs="Arial"/>
                <w:lang w:val="en-GB" w:eastAsia="en-GB"/>
              </w:rPr>
              <w:t>ạ</w:t>
            </w:r>
            <w:r w:rsidRPr="004A2D44">
              <w:rPr>
                <w:rFonts w:cs="Calibri"/>
                <w:lang w:val="en-GB" w:eastAsia="en-GB"/>
              </w:rPr>
              <w:t>i h</w:t>
            </w:r>
            <w:r w:rsidRPr="004A2D44">
              <w:rPr>
                <w:rFonts w:cs="Arial"/>
                <w:lang w:val="en-GB" w:eastAsia="en-GB"/>
              </w:rPr>
              <w:t>ọ</w:t>
            </w:r>
            <w:r w:rsidRPr="004A2D44">
              <w:rPr>
                <w:rFonts w:cs="Calibri"/>
                <w:lang w:val="en-GB" w:eastAsia="en-GB"/>
              </w:rPr>
              <w:t>c Thái Nguyên</w:t>
            </w:r>
          </w:p>
        </w:tc>
        <w:tc>
          <w:tcPr>
            <w:tcW w:w="1023"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97"/>
              <w:jc w:val="right"/>
              <w:rPr>
                <w:lang w:val="en-GB" w:eastAsia="en-GB"/>
              </w:rPr>
            </w:pPr>
            <w:r w:rsidRPr="004A2D44">
              <w:rPr>
                <w:lang w:val="en-GB" w:eastAsia="en-GB"/>
              </w:rPr>
              <w:t>102</w:t>
            </w:r>
          </w:p>
        </w:tc>
        <w:tc>
          <w:tcPr>
            <w:tcW w:w="868"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340"/>
              <w:jc w:val="right"/>
              <w:rPr>
                <w:lang w:val="en-GB" w:eastAsia="en-GB"/>
              </w:rPr>
            </w:pPr>
            <w:r w:rsidRPr="004A2D44">
              <w:rPr>
                <w:lang w:val="en-GB" w:eastAsia="en-GB"/>
              </w:rPr>
              <w:t>983</w:t>
            </w:r>
          </w:p>
        </w:tc>
        <w:tc>
          <w:tcPr>
            <w:tcW w:w="859" w:type="pct"/>
            <w:tcBorders>
              <w:top w:val="nil"/>
              <w:left w:val="nil"/>
              <w:bottom w:val="single" w:sz="4" w:space="0" w:color="auto"/>
              <w:right w:val="single" w:sz="4" w:space="0" w:color="auto"/>
            </w:tcBorders>
            <w:shd w:val="clear" w:color="auto" w:fill="auto"/>
            <w:noWrap/>
            <w:vAlign w:val="bottom"/>
          </w:tcPr>
          <w:p w:rsidR="00A50899" w:rsidRPr="004A2D44" w:rsidRDefault="00A50899" w:rsidP="00A324B6">
            <w:pPr>
              <w:pStyle w:val="Bang2"/>
              <w:spacing w:before="100"/>
              <w:ind w:right="227"/>
              <w:jc w:val="right"/>
              <w:rPr>
                <w:lang w:val="en-GB" w:eastAsia="en-GB"/>
              </w:rPr>
            </w:pPr>
            <w:r w:rsidRPr="004A2D44">
              <w:rPr>
                <w:lang w:val="en-GB" w:eastAsia="en-GB"/>
              </w:rPr>
              <w:t>2999</w:t>
            </w:r>
          </w:p>
        </w:tc>
      </w:tr>
    </w:tbl>
    <w:p w:rsidR="00A50899" w:rsidRPr="00AC3598" w:rsidRDefault="00A50899" w:rsidP="00A50899">
      <w:pPr>
        <w:pStyle w:val="khcnvn"/>
        <w:spacing w:before="160" w:line="240" w:lineRule="auto"/>
        <w:ind w:left="851" w:hanging="851"/>
        <w:rPr>
          <w:rFonts w:ascii="Arial" w:hAnsi="Arial" w:cs="Arial"/>
          <w:sz w:val="20"/>
          <w:szCs w:val="20"/>
        </w:rPr>
      </w:pPr>
      <w:r w:rsidRPr="00AC3598">
        <w:rPr>
          <w:rFonts w:ascii="Arial" w:hAnsi="Arial" w:cs="Arial"/>
          <w:sz w:val="20"/>
          <w:szCs w:val="20"/>
        </w:rPr>
        <w:t>(*) Đông Nam Á có 1.375 đại học</w:t>
      </w:r>
    </w:p>
    <w:p w:rsidR="00A50899" w:rsidRPr="00AC3598" w:rsidRDefault="00A50899" w:rsidP="00A50899">
      <w:pPr>
        <w:pStyle w:val="khcnvn"/>
        <w:spacing w:before="60" w:line="240" w:lineRule="auto"/>
        <w:ind w:left="851" w:hanging="851"/>
        <w:rPr>
          <w:rFonts w:ascii="Arial" w:hAnsi="Arial" w:cs="Arial"/>
          <w:sz w:val="20"/>
          <w:szCs w:val="20"/>
        </w:rPr>
      </w:pPr>
      <w:r w:rsidRPr="00AC3598">
        <w:rPr>
          <w:rFonts w:ascii="Arial" w:hAnsi="Arial" w:cs="Arial"/>
          <w:sz w:val="20"/>
          <w:szCs w:val="20"/>
        </w:rPr>
        <w:t>(**) Châu Á có 8.992 đại học</w:t>
      </w:r>
    </w:p>
    <w:p w:rsidR="00A50899" w:rsidRDefault="00A50899" w:rsidP="00A50899">
      <w:pPr>
        <w:pStyle w:val="khcnvn"/>
        <w:spacing w:before="60" w:line="240" w:lineRule="auto"/>
        <w:ind w:left="851" w:hanging="851"/>
        <w:rPr>
          <w:rFonts w:ascii="Arial" w:hAnsi="Arial" w:cs="Arial"/>
          <w:sz w:val="20"/>
          <w:szCs w:val="20"/>
        </w:rPr>
      </w:pPr>
      <w:r w:rsidRPr="00AC3598">
        <w:rPr>
          <w:rFonts w:ascii="Arial" w:hAnsi="Arial" w:cs="Arial"/>
          <w:sz w:val="20"/>
          <w:szCs w:val="20"/>
        </w:rPr>
        <w:t>(***) Thế giới có 23.892 đại học.</w:t>
      </w:r>
    </w:p>
    <w:p w:rsidR="00A50899" w:rsidRPr="00745E78" w:rsidRDefault="00A50899" w:rsidP="00A50899">
      <w:pPr>
        <w:pStyle w:val="nguon"/>
        <w:rPr>
          <w:lang w:val="en-US"/>
        </w:rPr>
      </w:pPr>
      <w:r w:rsidRPr="00F74739">
        <w:t xml:space="preserve">Nguồn: </w:t>
      </w:r>
      <w:r>
        <w:rPr>
          <w:lang w:val="en-US"/>
        </w:rPr>
        <w:t>Ranking Web of University; Cybermetrics Lab, 2015</w:t>
      </w:r>
    </w:p>
    <w:p w:rsidR="00A50899" w:rsidRPr="00454A79" w:rsidRDefault="00A50899" w:rsidP="00A50899">
      <w:pPr>
        <w:pStyle w:val="111khcnvn"/>
        <w:spacing w:before="300"/>
        <w:rPr>
          <w:rFonts w:ascii="Calibri" w:hAnsi="Calibri"/>
          <w:lang w:val="vi-VN"/>
        </w:rPr>
      </w:pPr>
      <w:bookmarkStart w:id="16" w:name="_Toc451518362"/>
      <w:r>
        <w:rPr>
          <w:lang w:val="vi-VN"/>
        </w:rPr>
        <w:t>1</w:t>
      </w:r>
      <w:r w:rsidRPr="00454A79">
        <w:rPr>
          <w:lang w:val="vi-VN"/>
        </w:rPr>
        <w:t>.1.3. Tổ chức dịch vụ khoa học và công nghệ</w:t>
      </w:r>
      <w:bookmarkEnd w:id="16"/>
    </w:p>
    <w:p w:rsidR="00A50899" w:rsidRDefault="00A50899" w:rsidP="00A50899">
      <w:pPr>
        <w:pStyle w:val="bodyA0"/>
      </w:pPr>
      <w:r w:rsidRPr="00874A77">
        <w:t xml:space="preserve">Tổ chức dịch vụ KH&amp;CN được tổ chức dưới hình thức trung tâm, văn phòng, phòng thử nghiệm và hình thức khác, có chức năng chủ yếu là hoạt động phục vụ, hỗ trợ kỹ thuật cho hoạt động NC&amp;PT; hoạt động liên quan đến sở hữu công nghiệp, chuyển giao công nghệ, tiêu chuẩn, quy chuẩn kỹ thuật, đo lường, chất lượng sản phẩm, hàng hóa, an toàn bức xạ và hạt nhân, năng lượng nguyên tử; dịch vụ về thông tin, </w:t>
      </w:r>
      <w:r>
        <w:t xml:space="preserve">thống kế KH&amp;CN, </w:t>
      </w:r>
      <w:r w:rsidRPr="00874A77">
        <w:t>tư vấn, đào tạo, bồi dưỡng, phổ biến, ứng dụng thành tựu KH&amp;CN trong các lĩnh vực KT-XH.</w:t>
      </w:r>
    </w:p>
    <w:p w:rsidR="00A50899" w:rsidRDefault="00A50899" w:rsidP="00A50899">
      <w:pPr>
        <w:pStyle w:val="bodyA0"/>
        <w:spacing w:line="283" w:lineRule="auto"/>
      </w:pPr>
      <w:r w:rsidRPr="000850EF">
        <w:rPr>
          <w:spacing w:val="-4"/>
        </w:rPr>
        <w:t xml:space="preserve">Theo lĩnh vực hoạt động của các tổ chức dịch vụ KH&amp;CN (Bảng </w:t>
      </w:r>
      <w:r w:rsidR="00894554">
        <w:rPr>
          <w:spacing w:val="-4"/>
          <w:lang w:val="en-US"/>
        </w:rPr>
        <w:t>1</w:t>
      </w:r>
      <w:r w:rsidRPr="000850EF">
        <w:rPr>
          <w:spacing w:val="-4"/>
        </w:rPr>
        <w:t xml:space="preserve">.6), </w:t>
      </w:r>
      <w:r>
        <w:t xml:space="preserve">khoa học kỹ thuật và công nghệ chiếm gần hai phần ba (64,2%), sau đó là khoa học xã hội và nhân văn (chiếm 16,5%), tiếp theo là khoa học tự </w:t>
      </w:r>
      <w:r w:rsidRPr="000850EF">
        <w:rPr>
          <w:spacing w:val="-4"/>
        </w:rPr>
        <w:t>nhiên (12,3%), khoa học nông nghiệp có 5,7% và cuối cùng là khoa học y,</w:t>
      </w:r>
      <w:r>
        <w:t xml:space="preserve"> dược chỉ có 1,4% số tổ chức này của cả nước (Bảng </w:t>
      </w:r>
      <w:r>
        <w:rPr>
          <w:lang w:val="en-US"/>
        </w:rPr>
        <w:t>1</w:t>
      </w:r>
      <w:r>
        <w:t>.6).</w:t>
      </w:r>
    </w:p>
    <w:p w:rsidR="00A50899" w:rsidRDefault="00A50899" w:rsidP="00A50899">
      <w:pPr>
        <w:pStyle w:val="khcnvnTenBang"/>
        <w:spacing w:before="260"/>
      </w:pPr>
      <w:bookmarkStart w:id="17" w:name="_Toc453342463"/>
      <w:r w:rsidRPr="005C01FF">
        <w:rPr>
          <w:b/>
          <w:i/>
        </w:rPr>
        <w:lastRenderedPageBreak/>
        <w:t xml:space="preserve">Bảng </w:t>
      </w:r>
      <w:r>
        <w:rPr>
          <w:b/>
          <w:i/>
        </w:rPr>
        <w:t>1</w:t>
      </w:r>
      <w:r w:rsidRPr="005C01FF">
        <w:rPr>
          <w:b/>
          <w:i/>
        </w:rPr>
        <w:t>.</w:t>
      </w:r>
      <w:r>
        <w:rPr>
          <w:b/>
          <w:i/>
        </w:rPr>
        <w:t>6</w:t>
      </w:r>
      <w:r w:rsidRPr="005C01FF">
        <w:rPr>
          <w:b/>
          <w:i/>
        </w:rPr>
        <w:t>.</w:t>
      </w:r>
      <w:r>
        <w:rPr>
          <w:b/>
          <w:i/>
        </w:rPr>
        <w:t xml:space="preserve"> </w:t>
      </w:r>
      <w:r>
        <w:t xml:space="preserve">Tổ chức dịch vụ KH&amp;CN </w:t>
      </w:r>
      <w:r w:rsidRPr="005F43AC">
        <w:t>theo lĩnh vực</w:t>
      </w:r>
      <w:r>
        <w:t xml:space="preserve"> KH&amp;CN</w:t>
      </w:r>
      <w:bookmarkEnd w:id="17"/>
    </w:p>
    <w:tbl>
      <w:tblPr>
        <w:tblW w:w="4830" w:type="pct"/>
        <w:tblInd w:w="108" w:type="dxa"/>
        <w:tblLook w:val="04A0" w:firstRow="1" w:lastRow="0" w:firstColumn="1" w:lastColumn="0" w:noHBand="0" w:noVBand="1"/>
      </w:tblPr>
      <w:tblGrid>
        <w:gridCol w:w="4286"/>
        <w:gridCol w:w="2580"/>
        <w:gridCol w:w="2166"/>
      </w:tblGrid>
      <w:tr w:rsidR="00A50899" w:rsidRPr="00653742" w:rsidTr="00A324B6">
        <w:tc>
          <w:tcPr>
            <w:tcW w:w="2373" w:type="pct"/>
            <w:tcBorders>
              <w:top w:val="single" w:sz="4" w:space="0" w:color="auto"/>
              <w:left w:val="single" w:sz="4" w:space="0" w:color="auto"/>
              <w:bottom w:val="single" w:sz="4" w:space="0" w:color="auto"/>
              <w:right w:val="single" w:sz="4" w:space="0" w:color="auto"/>
            </w:tcBorders>
            <w:shd w:val="clear" w:color="auto" w:fill="66CCFF"/>
            <w:noWrap/>
            <w:vAlign w:val="center"/>
          </w:tcPr>
          <w:p w:rsidR="00A50899" w:rsidRPr="00691906" w:rsidRDefault="00A50899" w:rsidP="00A324B6">
            <w:pPr>
              <w:pStyle w:val="Bang2"/>
              <w:spacing w:before="80" w:after="80"/>
              <w:jc w:val="center"/>
              <w:rPr>
                <w:b/>
              </w:rPr>
            </w:pPr>
            <w:r w:rsidRPr="00691906">
              <w:rPr>
                <w:b/>
              </w:rPr>
              <w:t>Lĩnh vực</w:t>
            </w:r>
          </w:p>
        </w:tc>
        <w:tc>
          <w:tcPr>
            <w:tcW w:w="1428" w:type="pct"/>
            <w:tcBorders>
              <w:top w:val="single" w:sz="4" w:space="0" w:color="auto"/>
              <w:left w:val="nil"/>
              <w:bottom w:val="single" w:sz="4" w:space="0" w:color="auto"/>
              <w:right w:val="single" w:sz="4" w:space="0" w:color="auto"/>
            </w:tcBorders>
            <w:shd w:val="clear" w:color="auto" w:fill="66CCFF"/>
            <w:noWrap/>
            <w:vAlign w:val="bottom"/>
          </w:tcPr>
          <w:p w:rsidR="00A50899" w:rsidRPr="00691906" w:rsidRDefault="00A50899" w:rsidP="00A324B6">
            <w:pPr>
              <w:pStyle w:val="Bang2"/>
              <w:spacing w:before="80" w:after="80"/>
              <w:jc w:val="center"/>
              <w:rPr>
                <w:b/>
              </w:rPr>
            </w:pPr>
            <w:r w:rsidRPr="00691906">
              <w:rPr>
                <w:b/>
              </w:rPr>
              <w:t>Số lượng</w:t>
            </w:r>
          </w:p>
        </w:tc>
        <w:tc>
          <w:tcPr>
            <w:tcW w:w="1199" w:type="pct"/>
            <w:tcBorders>
              <w:top w:val="single" w:sz="4" w:space="0" w:color="auto"/>
              <w:left w:val="nil"/>
              <w:bottom w:val="single" w:sz="4" w:space="0" w:color="auto"/>
              <w:right w:val="single" w:sz="4" w:space="0" w:color="auto"/>
            </w:tcBorders>
            <w:shd w:val="clear" w:color="auto" w:fill="66CCFF"/>
            <w:noWrap/>
            <w:vAlign w:val="bottom"/>
          </w:tcPr>
          <w:p w:rsidR="00A50899" w:rsidRPr="00691906" w:rsidRDefault="00A50899" w:rsidP="00A324B6">
            <w:pPr>
              <w:pStyle w:val="Bang2"/>
              <w:spacing w:before="80" w:after="80"/>
              <w:jc w:val="center"/>
              <w:rPr>
                <w:b/>
              </w:rPr>
            </w:pPr>
            <w:r w:rsidRPr="00691906">
              <w:rPr>
                <w:b/>
              </w:rPr>
              <w:t>T</w:t>
            </w:r>
            <w:r>
              <w:rPr>
                <w:b/>
              </w:rPr>
              <w:t>ỷ</w:t>
            </w:r>
            <w:r w:rsidRPr="00691906">
              <w:rPr>
                <w:b/>
              </w:rPr>
              <w:t xml:space="preserve"> lệ %</w:t>
            </w:r>
          </w:p>
        </w:tc>
      </w:tr>
      <w:tr w:rsidR="00A50899" w:rsidRPr="00653742" w:rsidTr="00A324B6">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rsidR="00A50899" w:rsidRPr="002B5B78" w:rsidRDefault="00A50899" w:rsidP="00A324B6">
            <w:pPr>
              <w:pStyle w:val="Bang2"/>
              <w:spacing w:before="80" w:after="80"/>
            </w:pPr>
            <w:r>
              <w:t xml:space="preserve">1. </w:t>
            </w:r>
            <w:r w:rsidRPr="002B5B78">
              <w:t>Khoa học tự nhiên</w:t>
            </w:r>
          </w:p>
        </w:tc>
        <w:tc>
          <w:tcPr>
            <w:tcW w:w="1428" w:type="pct"/>
            <w:tcBorders>
              <w:top w:val="single" w:sz="4" w:space="0" w:color="auto"/>
              <w:left w:val="nil"/>
              <w:bottom w:val="single" w:sz="4" w:space="0" w:color="auto"/>
              <w:right w:val="single" w:sz="4" w:space="0" w:color="auto"/>
            </w:tcBorders>
            <w:shd w:val="clear" w:color="auto" w:fill="auto"/>
            <w:vAlign w:val="bottom"/>
          </w:tcPr>
          <w:p w:rsidR="00A50899" w:rsidRPr="00653742" w:rsidRDefault="00A50899" w:rsidP="00A324B6">
            <w:pPr>
              <w:pStyle w:val="Bang2"/>
              <w:spacing w:before="80" w:after="80"/>
              <w:ind w:right="794"/>
              <w:jc w:val="right"/>
            </w:pPr>
            <w:r>
              <w:t>2</w:t>
            </w:r>
            <w:r w:rsidRPr="00653742">
              <w:t>6</w:t>
            </w:r>
          </w:p>
        </w:tc>
        <w:tc>
          <w:tcPr>
            <w:tcW w:w="1199" w:type="pct"/>
            <w:tcBorders>
              <w:top w:val="single" w:sz="4" w:space="0" w:color="auto"/>
              <w:left w:val="nil"/>
              <w:bottom w:val="single" w:sz="4" w:space="0" w:color="auto"/>
              <w:right w:val="single" w:sz="4" w:space="0" w:color="auto"/>
            </w:tcBorders>
            <w:shd w:val="clear" w:color="auto" w:fill="auto"/>
            <w:noWrap/>
            <w:vAlign w:val="center"/>
          </w:tcPr>
          <w:p w:rsidR="00A50899" w:rsidRDefault="00A50899" w:rsidP="00A324B6">
            <w:pPr>
              <w:spacing w:before="80" w:after="80"/>
              <w:ind w:right="567"/>
              <w:jc w:val="right"/>
              <w:rPr>
                <w:rFonts w:ascii="Arial" w:hAnsi="Arial" w:cs="Arial"/>
                <w:color w:val="000000"/>
                <w:sz w:val="20"/>
                <w:szCs w:val="20"/>
              </w:rPr>
            </w:pPr>
            <w:r>
              <w:rPr>
                <w:rFonts w:ascii="Arial" w:hAnsi="Arial" w:cs="Arial"/>
                <w:color w:val="000000"/>
                <w:sz w:val="20"/>
                <w:szCs w:val="20"/>
              </w:rPr>
              <w:t>12,3</w:t>
            </w:r>
          </w:p>
        </w:tc>
      </w:tr>
      <w:tr w:rsidR="00A50899" w:rsidRPr="00653742" w:rsidTr="00A324B6">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rsidR="00A50899" w:rsidRPr="002B5B78" w:rsidRDefault="00A50899" w:rsidP="00A324B6">
            <w:pPr>
              <w:pStyle w:val="Bang2"/>
              <w:spacing w:before="80" w:after="80"/>
            </w:pPr>
            <w:r>
              <w:t xml:space="preserve">2. </w:t>
            </w:r>
            <w:r w:rsidRPr="002B5B78">
              <w:t>Khoa học kỹ thuật và công nghệ</w:t>
            </w:r>
          </w:p>
        </w:tc>
        <w:tc>
          <w:tcPr>
            <w:tcW w:w="1428" w:type="pct"/>
            <w:tcBorders>
              <w:top w:val="single" w:sz="4" w:space="0" w:color="auto"/>
              <w:left w:val="nil"/>
              <w:bottom w:val="single" w:sz="4" w:space="0" w:color="auto"/>
              <w:right w:val="single" w:sz="4" w:space="0" w:color="auto"/>
            </w:tcBorders>
            <w:shd w:val="clear" w:color="auto" w:fill="auto"/>
            <w:vAlign w:val="bottom"/>
          </w:tcPr>
          <w:p w:rsidR="00A50899" w:rsidRPr="00653742" w:rsidRDefault="00A50899" w:rsidP="00A324B6">
            <w:pPr>
              <w:pStyle w:val="Bang2"/>
              <w:spacing w:before="80" w:after="80"/>
              <w:ind w:right="794"/>
              <w:jc w:val="right"/>
            </w:pPr>
            <w:r>
              <w:t>136</w:t>
            </w:r>
          </w:p>
        </w:tc>
        <w:tc>
          <w:tcPr>
            <w:tcW w:w="1199" w:type="pct"/>
            <w:tcBorders>
              <w:top w:val="single" w:sz="4" w:space="0" w:color="auto"/>
              <w:left w:val="nil"/>
              <w:bottom w:val="single" w:sz="4" w:space="0" w:color="auto"/>
              <w:right w:val="single" w:sz="4" w:space="0" w:color="auto"/>
            </w:tcBorders>
            <w:shd w:val="clear" w:color="auto" w:fill="auto"/>
            <w:noWrap/>
            <w:vAlign w:val="center"/>
          </w:tcPr>
          <w:p w:rsidR="00A50899" w:rsidRDefault="00A50899" w:rsidP="00A324B6">
            <w:pPr>
              <w:spacing w:before="80" w:after="80"/>
              <w:ind w:right="567"/>
              <w:jc w:val="right"/>
              <w:rPr>
                <w:rFonts w:ascii="Arial" w:hAnsi="Arial" w:cs="Arial"/>
                <w:color w:val="000000"/>
                <w:sz w:val="20"/>
                <w:szCs w:val="20"/>
              </w:rPr>
            </w:pPr>
            <w:r>
              <w:rPr>
                <w:rFonts w:ascii="Arial" w:hAnsi="Arial" w:cs="Arial"/>
                <w:color w:val="000000"/>
                <w:sz w:val="20"/>
                <w:szCs w:val="20"/>
              </w:rPr>
              <w:t>64,2</w:t>
            </w:r>
          </w:p>
        </w:tc>
      </w:tr>
      <w:tr w:rsidR="00A50899" w:rsidRPr="00653742" w:rsidTr="00A324B6">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rsidR="00A50899" w:rsidRPr="002B5B78" w:rsidRDefault="00A50899" w:rsidP="00A324B6">
            <w:pPr>
              <w:pStyle w:val="Bang2"/>
              <w:spacing w:before="80" w:after="80"/>
            </w:pPr>
            <w:r>
              <w:t xml:space="preserve">3. </w:t>
            </w:r>
            <w:r w:rsidRPr="002B5B78">
              <w:t>Khoa học y</w:t>
            </w:r>
            <w:r>
              <w:t>,</w:t>
            </w:r>
            <w:r w:rsidRPr="002B5B78">
              <w:t xml:space="preserve"> dược</w:t>
            </w:r>
          </w:p>
        </w:tc>
        <w:tc>
          <w:tcPr>
            <w:tcW w:w="1428" w:type="pct"/>
            <w:tcBorders>
              <w:top w:val="single" w:sz="4" w:space="0" w:color="auto"/>
              <w:left w:val="nil"/>
              <w:bottom w:val="single" w:sz="4" w:space="0" w:color="auto"/>
              <w:right w:val="single" w:sz="4" w:space="0" w:color="auto"/>
            </w:tcBorders>
            <w:shd w:val="clear" w:color="auto" w:fill="auto"/>
            <w:vAlign w:val="bottom"/>
          </w:tcPr>
          <w:p w:rsidR="00A50899" w:rsidRPr="00653742" w:rsidRDefault="00A50899" w:rsidP="00A324B6">
            <w:pPr>
              <w:pStyle w:val="Bang2"/>
              <w:spacing w:before="80" w:after="80"/>
              <w:ind w:right="794"/>
              <w:jc w:val="right"/>
            </w:pPr>
            <w:r>
              <w:t>3</w:t>
            </w:r>
          </w:p>
        </w:tc>
        <w:tc>
          <w:tcPr>
            <w:tcW w:w="1199" w:type="pct"/>
            <w:tcBorders>
              <w:top w:val="single" w:sz="4" w:space="0" w:color="auto"/>
              <w:left w:val="nil"/>
              <w:bottom w:val="single" w:sz="4" w:space="0" w:color="auto"/>
              <w:right w:val="single" w:sz="4" w:space="0" w:color="auto"/>
            </w:tcBorders>
            <w:shd w:val="clear" w:color="auto" w:fill="auto"/>
            <w:noWrap/>
            <w:vAlign w:val="center"/>
          </w:tcPr>
          <w:p w:rsidR="00A50899" w:rsidRDefault="00A50899" w:rsidP="00A324B6">
            <w:pPr>
              <w:spacing w:before="80" w:after="80"/>
              <w:ind w:right="567"/>
              <w:jc w:val="right"/>
              <w:rPr>
                <w:rFonts w:ascii="Arial" w:hAnsi="Arial" w:cs="Arial"/>
                <w:color w:val="000000"/>
                <w:sz w:val="20"/>
                <w:szCs w:val="20"/>
              </w:rPr>
            </w:pPr>
            <w:r>
              <w:rPr>
                <w:rFonts w:ascii="Arial" w:hAnsi="Arial" w:cs="Arial"/>
                <w:color w:val="000000"/>
                <w:sz w:val="20"/>
                <w:szCs w:val="20"/>
              </w:rPr>
              <w:t>1,4</w:t>
            </w:r>
          </w:p>
        </w:tc>
      </w:tr>
      <w:tr w:rsidR="00A50899" w:rsidRPr="00653742" w:rsidTr="00A324B6">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rsidR="00A50899" w:rsidRPr="002B5B78" w:rsidRDefault="00A50899" w:rsidP="00A324B6">
            <w:pPr>
              <w:pStyle w:val="Bang2"/>
              <w:spacing w:before="80" w:after="80"/>
            </w:pPr>
            <w:r>
              <w:t xml:space="preserve">4. </w:t>
            </w:r>
            <w:r w:rsidRPr="002B5B78">
              <w:t>Khoa học nông nghiệp</w:t>
            </w:r>
          </w:p>
        </w:tc>
        <w:tc>
          <w:tcPr>
            <w:tcW w:w="1428" w:type="pct"/>
            <w:tcBorders>
              <w:top w:val="single" w:sz="4" w:space="0" w:color="auto"/>
              <w:left w:val="nil"/>
              <w:bottom w:val="single" w:sz="4" w:space="0" w:color="auto"/>
              <w:right w:val="single" w:sz="4" w:space="0" w:color="auto"/>
            </w:tcBorders>
            <w:shd w:val="clear" w:color="auto" w:fill="auto"/>
            <w:vAlign w:val="bottom"/>
          </w:tcPr>
          <w:p w:rsidR="00A50899" w:rsidRPr="00653742" w:rsidRDefault="00A50899" w:rsidP="00A324B6">
            <w:pPr>
              <w:pStyle w:val="Bang2"/>
              <w:spacing w:before="80" w:after="80"/>
              <w:ind w:right="794"/>
              <w:jc w:val="right"/>
            </w:pPr>
            <w:r w:rsidRPr="00653742">
              <w:t>1</w:t>
            </w:r>
            <w:r>
              <w:t>2</w:t>
            </w:r>
          </w:p>
        </w:tc>
        <w:tc>
          <w:tcPr>
            <w:tcW w:w="1199" w:type="pct"/>
            <w:tcBorders>
              <w:top w:val="single" w:sz="4" w:space="0" w:color="auto"/>
              <w:left w:val="nil"/>
              <w:bottom w:val="single" w:sz="4" w:space="0" w:color="auto"/>
              <w:right w:val="single" w:sz="4" w:space="0" w:color="auto"/>
            </w:tcBorders>
            <w:shd w:val="clear" w:color="auto" w:fill="auto"/>
            <w:noWrap/>
            <w:vAlign w:val="center"/>
          </w:tcPr>
          <w:p w:rsidR="00A50899" w:rsidRDefault="00A50899" w:rsidP="00A324B6">
            <w:pPr>
              <w:spacing w:before="80" w:after="80"/>
              <w:ind w:right="567"/>
              <w:jc w:val="right"/>
              <w:rPr>
                <w:rFonts w:ascii="Arial" w:hAnsi="Arial" w:cs="Arial"/>
                <w:color w:val="000000"/>
                <w:sz w:val="20"/>
                <w:szCs w:val="20"/>
              </w:rPr>
            </w:pPr>
            <w:r>
              <w:rPr>
                <w:rFonts w:ascii="Arial" w:hAnsi="Arial" w:cs="Arial"/>
                <w:color w:val="000000"/>
                <w:sz w:val="20"/>
                <w:szCs w:val="20"/>
              </w:rPr>
              <w:t>5,7</w:t>
            </w:r>
          </w:p>
        </w:tc>
      </w:tr>
      <w:tr w:rsidR="00A50899" w:rsidRPr="00653742" w:rsidTr="00A324B6">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rsidR="00A50899" w:rsidRPr="002B5B78" w:rsidRDefault="00A50899" w:rsidP="00A324B6">
            <w:pPr>
              <w:pStyle w:val="Bang2"/>
              <w:spacing w:before="80" w:after="80"/>
            </w:pPr>
            <w:r>
              <w:t xml:space="preserve">5. </w:t>
            </w:r>
            <w:r w:rsidRPr="002B5B78">
              <w:t>Khoa học xã hội</w:t>
            </w:r>
          </w:p>
        </w:tc>
        <w:tc>
          <w:tcPr>
            <w:tcW w:w="1428" w:type="pct"/>
            <w:tcBorders>
              <w:top w:val="single" w:sz="4" w:space="0" w:color="auto"/>
              <w:left w:val="nil"/>
              <w:bottom w:val="single" w:sz="4" w:space="0" w:color="auto"/>
              <w:right w:val="single" w:sz="4" w:space="0" w:color="auto"/>
            </w:tcBorders>
            <w:shd w:val="clear" w:color="auto" w:fill="auto"/>
            <w:vAlign w:val="bottom"/>
          </w:tcPr>
          <w:p w:rsidR="00A50899" w:rsidRPr="00653742" w:rsidRDefault="00A50899" w:rsidP="00A324B6">
            <w:pPr>
              <w:pStyle w:val="Bang2"/>
              <w:spacing w:before="80" w:after="80"/>
              <w:ind w:right="794"/>
              <w:jc w:val="right"/>
            </w:pPr>
            <w:r>
              <w:t>32</w:t>
            </w:r>
          </w:p>
        </w:tc>
        <w:tc>
          <w:tcPr>
            <w:tcW w:w="1199" w:type="pct"/>
            <w:tcBorders>
              <w:top w:val="single" w:sz="4" w:space="0" w:color="auto"/>
              <w:left w:val="nil"/>
              <w:bottom w:val="single" w:sz="4" w:space="0" w:color="auto"/>
              <w:right w:val="single" w:sz="4" w:space="0" w:color="auto"/>
            </w:tcBorders>
            <w:shd w:val="clear" w:color="auto" w:fill="auto"/>
            <w:noWrap/>
            <w:vAlign w:val="center"/>
          </w:tcPr>
          <w:p w:rsidR="00A50899" w:rsidRDefault="00A50899" w:rsidP="00A324B6">
            <w:pPr>
              <w:spacing w:before="80" w:after="80"/>
              <w:ind w:right="567"/>
              <w:jc w:val="right"/>
              <w:rPr>
                <w:rFonts w:ascii="Arial" w:hAnsi="Arial" w:cs="Arial"/>
                <w:color w:val="000000"/>
                <w:sz w:val="20"/>
                <w:szCs w:val="20"/>
              </w:rPr>
            </w:pPr>
            <w:r>
              <w:rPr>
                <w:rFonts w:ascii="Arial" w:hAnsi="Arial" w:cs="Arial"/>
                <w:color w:val="000000"/>
                <w:sz w:val="20"/>
                <w:szCs w:val="20"/>
              </w:rPr>
              <w:t>15,1</w:t>
            </w:r>
          </w:p>
        </w:tc>
      </w:tr>
      <w:tr w:rsidR="00A50899" w:rsidRPr="00653742" w:rsidTr="00A324B6">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rsidR="00A50899" w:rsidRPr="002B5B78" w:rsidRDefault="00A50899" w:rsidP="00A324B6">
            <w:pPr>
              <w:pStyle w:val="Bang2"/>
              <w:spacing w:before="80" w:after="80"/>
            </w:pPr>
            <w:r>
              <w:t xml:space="preserve">6. </w:t>
            </w:r>
            <w:r w:rsidRPr="002B5B78">
              <w:t>Khoa học nhân văn</w:t>
            </w:r>
          </w:p>
        </w:tc>
        <w:tc>
          <w:tcPr>
            <w:tcW w:w="1428" w:type="pct"/>
            <w:tcBorders>
              <w:top w:val="single" w:sz="4" w:space="0" w:color="auto"/>
              <w:left w:val="nil"/>
              <w:bottom w:val="single" w:sz="4" w:space="0" w:color="auto"/>
              <w:right w:val="single" w:sz="4" w:space="0" w:color="auto"/>
            </w:tcBorders>
            <w:shd w:val="clear" w:color="auto" w:fill="auto"/>
            <w:vAlign w:val="bottom"/>
          </w:tcPr>
          <w:p w:rsidR="00A50899" w:rsidRPr="00653742" w:rsidRDefault="00A50899" w:rsidP="00A324B6">
            <w:pPr>
              <w:pStyle w:val="Bang2"/>
              <w:spacing w:before="80" w:after="80"/>
              <w:ind w:right="794"/>
              <w:jc w:val="right"/>
            </w:pPr>
            <w:r>
              <w:t>3</w:t>
            </w:r>
          </w:p>
        </w:tc>
        <w:tc>
          <w:tcPr>
            <w:tcW w:w="1199" w:type="pct"/>
            <w:tcBorders>
              <w:top w:val="single" w:sz="4" w:space="0" w:color="auto"/>
              <w:left w:val="nil"/>
              <w:bottom w:val="single" w:sz="4" w:space="0" w:color="auto"/>
              <w:right w:val="single" w:sz="4" w:space="0" w:color="auto"/>
            </w:tcBorders>
            <w:shd w:val="clear" w:color="auto" w:fill="auto"/>
            <w:noWrap/>
            <w:vAlign w:val="center"/>
          </w:tcPr>
          <w:p w:rsidR="00A50899" w:rsidRDefault="00A50899" w:rsidP="00A324B6">
            <w:pPr>
              <w:spacing w:before="80" w:after="80"/>
              <w:ind w:right="567"/>
              <w:jc w:val="right"/>
              <w:rPr>
                <w:rFonts w:ascii="Arial" w:hAnsi="Arial" w:cs="Arial"/>
                <w:color w:val="000000"/>
                <w:sz w:val="20"/>
                <w:szCs w:val="20"/>
              </w:rPr>
            </w:pPr>
            <w:r>
              <w:rPr>
                <w:rFonts w:ascii="Arial" w:hAnsi="Arial" w:cs="Arial"/>
                <w:color w:val="000000"/>
                <w:sz w:val="20"/>
                <w:szCs w:val="20"/>
              </w:rPr>
              <w:t>1,4</w:t>
            </w:r>
          </w:p>
        </w:tc>
      </w:tr>
      <w:tr w:rsidR="00A50899" w:rsidRPr="00CF460E" w:rsidTr="00A324B6">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rsidR="00A50899" w:rsidRPr="00CF460E" w:rsidRDefault="00A50899" w:rsidP="00A324B6">
            <w:pPr>
              <w:pStyle w:val="Bang2"/>
              <w:spacing w:before="80" w:after="80"/>
              <w:rPr>
                <w:b/>
                <w:i/>
              </w:rPr>
            </w:pPr>
            <w:r w:rsidRPr="00CF460E">
              <w:rPr>
                <w:b/>
                <w:i/>
              </w:rPr>
              <w:t>Tổng cộng</w:t>
            </w:r>
          </w:p>
        </w:tc>
        <w:tc>
          <w:tcPr>
            <w:tcW w:w="1428" w:type="pct"/>
            <w:tcBorders>
              <w:top w:val="single" w:sz="4" w:space="0" w:color="auto"/>
              <w:left w:val="nil"/>
              <w:bottom w:val="single" w:sz="4" w:space="0" w:color="auto"/>
              <w:right w:val="single" w:sz="4" w:space="0" w:color="auto"/>
            </w:tcBorders>
            <w:shd w:val="clear" w:color="auto" w:fill="auto"/>
            <w:vAlign w:val="center"/>
          </w:tcPr>
          <w:p w:rsidR="00A50899" w:rsidRPr="00CF460E" w:rsidRDefault="00A50899" w:rsidP="00A324B6">
            <w:pPr>
              <w:pStyle w:val="Bang2"/>
              <w:spacing w:before="80" w:after="80"/>
              <w:ind w:right="794"/>
              <w:jc w:val="right"/>
              <w:rPr>
                <w:b/>
                <w:i/>
              </w:rPr>
            </w:pPr>
            <w:r w:rsidRPr="00CF460E">
              <w:rPr>
                <w:b/>
                <w:i/>
              </w:rPr>
              <w:fldChar w:fldCharType="begin"/>
            </w:r>
            <w:r w:rsidRPr="00CF460E">
              <w:rPr>
                <w:b/>
                <w:i/>
              </w:rPr>
              <w:instrText xml:space="preserve"> =SUM(ABOVE) </w:instrText>
            </w:r>
            <w:r w:rsidRPr="00CF460E">
              <w:rPr>
                <w:b/>
                <w:i/>
              </w:rPr>
              <w:fldChar w:fldCharType="separate"/>
            </w:r>
            <w:r w:rsidRPr="00CF460E">
              <w:rPr>
                <w:b/>
                <w:i/>
                <w:noProof/>
              </w:rPr>
              <w:t>212</w:t>
            </w:r>
            <w:r w:rsidRPr="00CF460E">
              <w:rPr>
                <w:b/>
                <w:i/>
                <w:noProof/>
              </w:rPr>
              <w:fldChar w:fldCharType="end"/>
            </w:r>
          </w:p>
        </w:tc>
        <w:tc>
          <w:tcPr>
            <w:tcW w:w="1199" w:type="pct"/>
            <w:tcBorders>
              <w:top w:val="single" w:sz="4" w:space="0" w:color="auto"/>
              <w:left w:val="nil"/>
              <w:bottom w:val="single" w:sz="4" w:space="0" w:color="auto"/>
              <w:right w:val="single" w:sz="4" w:space="0" w:color="auto"/>
            </w:tcBorders>
            <w:shd w:val="clear" w:color="auto" w:fill="auto"/>
            <w:noWrap/>
            <w:vAlign w:val="center"/>
          </w:tcPr>
          <w:p w:rsidR="00A50899" w:rsidRPr="00CF460E" w:rsidRDefault="00A50899" w:rsidP="00A324B6">
            <w:pPr>
              <w:pStyle w:val="Bang2"/>
              <w:spacing w:before="80" w:after="80"/>
              <w:ind w:right="567"/>
              <w:jc w:val="right"/>
              <w:rPr>
                <w:b/>
                <w:i/>
              </w:rPr>
            </w:pPr>
            <w:r w:rsidRPr="00CF460E">
              <w:rPr>
                <w:b/>
                <w:i/>
              </w:rPr>
              <w:t>100</w:t>
            </w:r>
          </w:p>
        </w:tc>
      </w:tr>
    </w:tbl>
    <w:p w:rsidR="00A50899" w:rsidRPr="00A70D82" w:rsidRDefault="00A50899" w:rsidP="00A50899">
      <w:pPr>
        <w:pStyle w:val="khcnvn"/>
        <w:rPr>
          <w:sz w:val="10"/>
        </w:rPr>
      </w:pPr>
    </w:p>
    <w:p w:rsidR="00A50899" w:rsidRDefault="00A50899" w:rsidP="00A50899">
      <w:pPr>
        <w:pStyle w:val="nguon"/>
        <w:spacing w:before="80"/>
      </w:pPr>
      <w:r w:rsidRPr="00F74739">
        <w:t>Nguồn: Điều tra tiềm lực của các tổ chức khoa học và công nghệ, năm 2014</w:t>
      </w:r>
      <w:r>
        <w:t>.</w:t>
      </w:r>
    </w:p>
    <w:p w:rsidR="00A50899" w:rsidRPr="00454A79" w:rsidRDefault="00A50899" w:rsidP="00A50899">
      <w:pPr>
        <w:pStyle w:val="bodyA0"/>
        <w:spacing w:line="283" w:lineRule="auto"/>
        <w:rPr>
          <w:lang w:val="vi-VN"/>
        </w:rPr>
      </w:pPr>
      <w:r w:rsidRPr="00454A79">
        <w:rPr>
          <w:lang w:val="vi-VN"/>
        </w:rPr>
        <w:t xml:space="preserve">Theo phân bố địa lý, các tổ chức dịch vụ KH&amp;CN được phân bố tương đối rộng khắp trên cả nước, tập trung cao nhất ở Hà Nội và vùng Đồng bằng sông Hồng (35,3%), tiếp đến là vùng </w:t>
      </w:r>
      <w:r w:rsidRPr="00454A79">
        <w:rPr>
          <w:color w:val="000000"/>
          <w:szCs w:val="26"/>
          <w:lang w:val="vi-VN"/>
        </w:rPr>
        <w:t xml:space="preserve">Bắc </w:t>
      </w:r>
      <w:r w:rsidRPr="00454A79">
        <w:rPr>
          <w:szCs w:val="26"/>
          <w:lang w:val="vi-VN"/>
        </w:rPr>
        <w:t>Trung</w:t>
      </w:r>
      <w:r w:rsidRPr="00454A79">
        <w:rPr>
          <w:color w:val="000000"/>
          <w:szCs w:val="26"/>
          <w:lang w:val="vi-VN"/>
        </w:rPr>
        <w:t xml:space="preserve"> Bộ và duyên hải miền Trung (18,4%), TP. Hồ Chí Minh và vùng Đông Nam Bộ (19,3%), vùng Đồng bằng sông Cửu Long (11,8%), vùng Trung du và miền núi phía Bắc (10,4%) và thấp nhất là vùng Tây Nguyên (1,9%)</w:t>
      </w:r>
      <w:r w:rsidRPr="00454A79">
        <w:rPr>
          <w:lang w:val="vi-VN"/>
        </w:rPr>
        <w:t xml:space="preserve"> (Bảng </w:t>
      </w:r>
      <w:r>
        <w:rPr>
          <w:lang w:val="en-US"/>
        </w:rPr>
        <w:t>1</w:t>
      </w:r>
      <w:r w:rsidRPr="00454A79">
        <w:rPr>
          <w:lang w:val="vi-VN"/>
        </w:rPr>
        <w:t xml:space="preserve">.7, Hình </w:t>
      </w:r>
      <w:r>
        <w:rPr>
          <w:lang w:val="en-US"/>
        </w:rPr>
        <w:t>1</w:t>
      </w:r>
      <w:r w:rsidRPr="00454A79">
        <w:rPr>
          <w:lang w:val="vi-VN"/>
        </w:rPr>
        <w:t>.6).</w:t>
      </w:r>
    </w:p>
    <w:p w:rsidR="00A50899" w:rsidRPr="00454A79" w:rsidRDefault="00A50899" w:rsidP="00A50899">
      <w:pPr>
        <w:pStyle w:val="khcnvnTenBang"/>
        <w:rPr>
          <w:b/>
          <w:i/>
          <w:sz w:val="2"/>
          <w:lang w:val="vi-VN"/>
        </w:rPr>
      </w:pPr>
      <w:bookmarkStart w:id="18" w:name="_Toc453342464"/>
    </w:p>
    <w:p w:rsidR="00A50899" w:rsidRPr="00454A79" w:rsidRDefault="00A50899" w:rsidP="00A50899">
      <w:pPr>
        <w:pStyle w:val="khcnvnTenBang"/>
        <w:rPr>
          <w:lang w:val="vi-VN"/>
        </w:rPr>
      </w:pPr>
      <w:r w:rsidRPr="00454A79">
        <w:rPr>
          <w:b/>
          <w:i/>
          <w:lang w:val="vi-VN"/>
        </w:rPr>
        <w:t xml:space="preserve">Bảng </w:t>
      </w:r>
      <w:r>
        <w:rPr>
          <w:b/>
          <w:i/>
        </w:rPr>
        <w:t>1</w:t>
      </w:r>
      <w:r w:rsidRPr="00454A79">
        <w:rPr>
          <w:b/>
          <w:i/>
          <w:lang w:val="vi-VN"/>
        </w:rPr>
        <w:t xml:space="preserve">.7. </w:t>
      </w:r>
      <w:r w:rsidRPr="00454A79">
        <w:rPr>
          <w:lang w:val="vi-VN"/>
        </w:rPr>
        <w:t>Tổ chức dịch vụ KH&amp;CN theo vùng địa lý</w:t>
      </w:r>
      <w:bookmarkEnd w:id="18"/>
    </w:p>
    <w:tbl>
      <w:tblPr>
        <w:tblW w:w="4857" w:type="pct"/>
        <w:tblInd w:w="108" w:type="dxa"/>
        <w:tblLayout w:type="fixed"/>
        <w:tblLook w:val="04A0" w:firstRow="1" w:lastRow="0" w:firstColumn="1" w:lastColumn="0" w:noHBand="0" w:noVBand="1"/>
      </w:tblPr>
      <w:tblGrid>
        <w:gridCol w:w="5626"/>
        <w:gridCol w:w="1813"/>
        <w:gridCol w:w="1644"/>
      </w:tblGrid>
      <w:tr w:rsidR="00A50899" w:rsidRPr="00B72302" w:rsidTr="00A324B6">
        <w:trPr>
          <w:trHeight w:val="255"/>
        </w:trPr>
        <w:tc>
          <w:tcPr>
            <w:tcW w:w="3097" w:type="pct"/>
            <w:vMerge w:val="restart"/>
            <w:tcBorders>
              <w:top w:val="single" w:sz="4" w:space="0" w:color="auto"/>
              <w:left w:val="single" w:sz="4" w:space="0" w:color="auto"/>
              <w:right w:val="single" w:sz="4" w:space="0" w:color="auto"/>
            </w:tcBorders>
            <w:shd w:val="clear" w:color="auto" w:fill="66CCFF"/>
            <w:noWrap/>
            <w:vAlign w:val="center"/>
          </w:tcPr>
          <w:p w:rsidR="00A50899" w:rsidRPr="00A70D82" w:rsidRDefault="00A50899" w:rsidP="00A324B6">
            <w:pPr>
              <w:spacing w:before="80" w:after="80"/>
              <w:jc w:val="center"/>
              <w:rPr>
                <w:rFonts w:ascii="Arial" w:hAnsi="Arial" w:cs="Arial"/>
                <w:b/>
                <w:color w:val="000000"/>
                <w:sz w:val="20"/>
                <w:szCs w:val="20"/>
              </w:rPr>
            </w:pPr>
            <w:r w:rsidRPr="00A70D82">
              <w:rPr>
                <w:rFonts w:ascii="Arial" w:hAnsi="Arial" w:cs="Arial"/>
                <w:b/>
                <w:color w:val="000000"/>
                <w:sz w:val="20"/>
                <w:szCs w:val="20"/>
              </w:rPr>
              <w:t>Vùng</w:t>
            </w:r>
          </w:p>
        </w:tc>
        <w:tc>
          <w:tcPr>
            <w:tcW w:w="1903" w:type="pct"/>
            <w:gridSpan w:val="2"/>
            <w:tcBorders>
              <w:top w:val="single" w:sz="4" w:space="0" w:color="auto"/>
              <w:left w:val="nil"/>
              <w:bottom w:val="single" w:sz="4" w:space="0" w:color="auto"/>
              <w:right w:val="single" w:sz="4" w:space="0" w:color="auto"/>
            </w:tcBorders>
            <w:shd w:val="clear" w:color="auto" w:fill="66CCFF"/>
            <w:noWrap/>
            <w:vAlign w:val="center"/>
          </w:tcPr>
          <w:p w:rsidR="00A50899" w:rsidRPr="00A70D82" w:rsidRDefault="00A50899" w:rsidP="00A324B6">
            <w:pPr>
              <w:spacing w:before="80" w:after="80"/>
              <w:jc w:val="center"/>
              <w:rPr>
                <w:rFonts w:ascii="Arial" w:hAnsi="Arial" w:cs="Arial"/>
                <w:b/>
                <w:color w:val="000000"/>
                <w:sz w:val="20"/>
                <w:szCs w:val="20"/>
              </w:rPr>
            </w:pPr>
            <w:r w:rsidRPr="00A70D82">
              <w:rPr>
                <w:rFonts w:ascii="Arial" w:hAnsi="Arial" w:cs="Arial"/>
                <w:b/>
                <w:color w:val="000000"/>
                <w:sz w:val="20"/>
                <w:szCs w:val="20"/>
              </w:rPr>
              <w:t>Tổ chức dịch vụ</w:t>
            </w:r>
          </w:p>
        </w:tc>
      </w:tr>
      <w:tr w:rsidR="00A50899" w:rsidRPr="00B72302" w:rsidTr="00A324B6">
        <w:trPr>
          <w:trHeight w:val="255"/>
        </w:trPr>
        <w:tc>
          <w:tcPr>
            <w:tcW w:w="3097" w:type="pct"/>
            <w:vMerge/>
            <w:tcBorders>
              <w:left w:val="single" w:sz="4" w:space="0" w:color="auto"/>
              <w:bottom w:val="single" w:sz="4" w:space="0" w:color="auto"/>
              <w:right w:val="single" w:sz="4" w:space="0" w:color="auto"/>
            </w:tcBorders>
            <w:shd w:val="clear" w:color="auto" w:fill="66CCFF"/>
            <w:noWrap/>
            <w:vAlign w:val="center"/>
          </w:tcPr>
          <w:p w:rsidR="00A50899" w:rsidRPr="00A70D82" w:rsidRDefault="00A50899" w:rsidP="00A324B6">
            <w:pPr>
              <w:spacing w:before="80" w:after="80"/>
              <w:jc w:val="center"/>
              <w:rPr>
                <w:rFonts w:ascii="Arial" w:hAnsi="Arial" w:cs="Arial"/>
                <w:b/>
                <w:color w:val="000000"/>
                <w:sz w:val="20"/>
                <w:szCs w:val="20"/>
              </w:rPr>
            </w:pPr>
          </w:p>
        </w:tc>
        <w:tc>
          <w:tcPr>
            <w:tcW w:w="998" w:type="pct"/>
            <w:tcBorders>
              <w:top w:val="single" w:sz="4" w:space="0" w:color="auto"/>
              <w:left w:val="nil"/>
              <w:bottom w:val="single" w:sz="4" w:space="0" w:color="auto"/>
              <w:right w:val="single" w:sz="4" w:space="0" w:color="auto"/>
            </w:tcBorders>
            <w:shd w:val="clear" w:color="auto" w:fill="66CCFF"/>
            <w:noWrap/>
            <w:vAlign w:val="center"/>
          </w:tcPr>
          <w:p w:rsidR="00A50899" w:rsidRPr="00A70D82" w:rsidRDefault="00A50899" w:rsidP="00A324B6">
            <w:pPr>
              <w:spacing w:before="80" w:after="80"/>
              <w:jc w:val="center"/>
              <w:rPr>
                <w:rFonts w:ascii="Arial" w:hAnsi="Arial" w:cs="Arial"/>
                <w:b/>
                <w:color w:val="000000"/>
                <w:sz w:val="20"/>
                <w:szCs w:val="20"/>
              </w:rPr>
            </w:pPr>
            <w:r w:rsidRPr="00A70D82">
              <w:rPr>
                <w:rFonts w:ascii="Arial" w:hAnsi="Arial" w:cs="Arial"/>
                <w:b/>
                <w:color w:val="000000"/>
                <w:sz w:val="20"/>
                <w:szCs w:val="20"/>
              </w:rPr>
              <w:t>Số lượng</w:t>
            </w:r>
          </w:p>
        </w:tc>
        <w:tc>
          <w:tcPr>
            <w:tcW w:w="905" w:type="pct"/>
            <w:tcBorders>
              <w:top w:val="single" w:sz="4" w:space="0" w:color="auto"/>
              <w:left w:val="nil"/>
              <w:bottom w:val="single" w:sz="4" w:space="0" w:color="auto"/>
              <w:right w:val="single" w:sz="4" w:space="0" w:color="auto"/>
            </w:tcBorders>
            <w:shd w:val="clear" w:color="auto" w:fill="66CCFF"/>
            <w:vAlign w:val="center"/>
          </w:tcPr>
          <w:p w:rsidR="00A50899" w:rsidRPr="00A70D82" w:rsidRDefault="00A50899" w:rsidP="00A324B6">
            <w:pPr>
              <w:spacing w:before="80" w:after="80"/>
              <w:jc w:val="center"/>
              <w:rPr>
                <w:rFonts w:ascii="Arial" w:hAnsi="Arial" w:cs="Arial"/>
                <w:b/>
                <w:color w:val="000000"/>
                <w:sz w:val="20"/>
                <w:szCs w:val="20"/>
              </w:rPr>
            </w:pPr>
            <w:r w:rsidRPr="00A70D82">
              <w:rPr>
                <w:rFonts w:ascii="Arial" w:hAnsi="Arial" w:cs="Arial"/>
                <w:b/>
                <w:color w:val="000000"/>
                <w:sz w:val="20"/>
                <w:szCs w:val="20"/>
              </w:rPr>
              <w:t>Tỷ lệ (%)</w:t>
            </w:r>
          </w:p>
        </w:tc>
      </w:tr>
      <w:tr w:rsidR="00A50899" w:rsidRPr="00B72302" w:rsidTr="00A324B6">
        <w:trPr>
          <w:trHeight w:val="283"/>
        </w:trPr>
        <w:tc>
          <w:tcPr>
            <w:tcW w:w="30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B72302" w:rsidRDefault="00A50899" w:rsidP="00A324B6">
            <w:pPr>
              <w:spacing w:before="80" w:after="80"/>
              <w:rPr>
                <w:rFonts w:ascii="Arial" w:hAnsi="Arial" w:cs="Arial"/>
                <w:color w:val="000000"/>
                <w:sz w:val="20"/>
                <w:szCs w:val="20"/>
              </w:rPr>
            </w:pPr>
            <w:r>
              <w:rPr>
                <w:rFonts w:ascii="Arial" w:hAnsi="Arial" w:cs="Arial"/>
                <w:color w:val="000000"/>
                <w:sz w:val="20"/>
                <w:szCs w:val="20"/>
              </w:rPr>
              <w:t xml:space="preserve">1. </w:t>
            </w:r>
            <w:r w:rsidRPr="00B72302">
              <w:rPr>
                <w:rFonts w:ascii="Arial" w:hAnsi="Arial" w:cs="Arial"/>
                <w:color w:val="000000"/>
                <w:sz w:val="20"/>
                <w:szCs w:val="20"/>
              </w:rPr>
              <w:t>Hà Nội</w:t>
            </w:r>
          </w:p>
        </w:tc>
        <w:tc>
          <w:tcPr>
            <w:tcW w:w="998" w:type="pct"/>
            <w:tcBorders>
              <w:top w:val="single" w:sz="4" w:space="0" w:color="auto"/>
              <w:left w:val="nil"/>
              <w:bottom w:val="single" w:sz="4" w:space="0" w:color="auto"/>
              <w:right w:val="single" w:sz="4" w:space="0" w:color="auto"/>
            </w:tcBorders>
            <w:shd w:val="clear" w:color="auto" w:fill="auto"/>
            <w:noWrap/>
            <w:vAlign w:val="center"/>
          </w:tcPr>
          <w:p w:rsidR="00A50899" w:rsidRPr="00B72302" w:rsidRDefault="00A50899" w:rsidP="00A324B6">
            <w:pPr>
              <w:tabs>
                <w:tab w:val="left" w:pos="747"/>
              </w:tabs>
              <w:spacing w:before="80" w:after="80"/>
              <w:ind w:right="454"/>
              <w:jc w:val="right"/>
              <w:rPr>
                <w:rFonts w:ascii="Arial" w:hAnsi="Arial" w:cs="Arial"/>
                <w:color w:val="000000"/>
                <w:sz w:val="20"/>
                <w:szCs w:val="20"/>
              </w:rPr>
            </w:pPr>
            <w:r w:rsidRPr="00B72302">
              <w:rPr>
                <w:rFonts w:ascii="Arial" w:hAnsi="Arial" w:cs="Arial"/>
                <w:color w:val="000000"/>
                <w:sz w:val="20"/>
                <w:szCs w:val="20"/>
              </w:rPr>
              <w:t>59</w:t>
            </w:r>
          </w:p>
        </w:tc>
        <w:tc>
          <w:tcPr>
            <w:tcW w:w="905" w:type="pct"/>
            <w:tcBorders>
              <w:top w:val="single" w:sz="4" w:space="0" w:color="auto"/>
              <w:left w:val="nil"/>
              <w:bottom w:val="single" w:sz="4" w:space="0" w:color="auto"/>
              <w:right w:val="single" w:sz="4" w:space="0" w:color="auto"/>
            </w:tcBorders>
            <w:shd w:val="clear" w:color="auto" w:fill="auto"/>
            <w:vAlign w:val="center"/>
          </w:tcPr>
          <w:p w:rsidR="00A50899" w:rsidRPr="00B72302" w:rsidRDefault="00A50899" w:rsidP="00A324B6">
            <w:pPr>
              <w:spacing w:before="80" w:after="80"/>
              <w:ind w:right="380"/>
              <w:jc w:val="right"/>
              <w:rPr>
                <w:rFonts w:ascii="Arial" w:hAnsi="Arial" w:cs="Arial"/>
                <w:color w:val="000000"/>
                <w:sz w:val="20"/>
                <w:szCs w:val="20"/>
              </w:rPr>
            </w:pPr>
            <w:r w:rsidRPr="00B72302">
              <w:rPr>
                <w:rFonts w:ascii="Arial" w:hAnsi="Arial" w:cs="Arial"/>
                <w:color w:val="000000"/>
                <w:sz w:val="20"/>
                <w:szCs w:val="20"/>
              </w:rPr>
              <w:t>27</w:t>
            </w:r>
            <w:r>
              <w:rPr>
                <w:rFonts w:ascii="Arial" w:hAnsi="Arial" w:cs="Arial"/>
                <w:color w:val="000000"/>
                <w:sz w:val="20"/>
                <w:szCs w:val="20"/>
              </w:rPr>
              <w:t>,</w:t>
            </w:r>
            <w:r w:rsidRPr="00B72302">
              <w:rPr>
                <w:rFonts w:ascii="Arial" w:hAnsi="Arial" w:cs="Arial"/>
                <w:color w:val="000000"/>
                <w:sz w:val="20"/>
                <w:szCs w:val="20"/>
              </w:rPr>
              <w:t>8</w:t>
            </w:r>
          </w:p>
        </w:tc>
      </w:tr>
      <w:tr w:rsidR="00A50899" w:rsidRPr="00B72302" w:rsidTr="00A324B6">
        <w:trPr>
          <w:trHeight w:val="283"/>
        </w:trPr>
        <w:tc>
          <w:tcPr>
            <w:tcW w:w="30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B72302" w:rsidRDefault="00A50899" w:rsidP="00A324B6">
            <w:pPr>
              <w:spacing w:before="80" w:after="80"/>
              <w:rPr>
                <w:rFonts w:ascii="Arial" w:hAnsi="Arial" w:cs="Arial"/>
                <w:color w:val="000000"/>
                <w:sz w:val="20"/>
                <w:szCs w:val="20"/>
              </w:rPr>
            </w:pPr>
            <w:r>
              <w:rPr>
                <w:rFonts w:ascii="Arial" w:hAnsi="Arial" w:cs="Arial"/>
                <w:color w:val="000000"/>
                <w:sz w:val="20"/>
                <w:szCs w:val="20"/>
              </w:rPr>
              <w:t xml:space="preserve">2. </w:t>
            </w:r>
            <w:r w:rsidRPr="00B72302">
              <w:rPr>
                <w:rFonts w:ascii="Arial" w:hAnsi="Arial" w:cs="Arial"/>
                <w:color w:val="000000"/>
                <w:sz w:val="20"/>
                <w:szCs w:val="20"/>
              </w:rPr>
              <w:t>TP. Hồ Chí Minh</w:t>
            </w:r>
          </w:p>
        </w:tc>
        <w:tc>
          <w:tcPr>
            <w:tcW w:w="998" w:type="pct"/>
            <w:tcBorders>
              <w:top w:val="single" w:sz="4" w:space="0" w:color="auto"/>
              <w:left w:val="nil"/>
              <w:bottom w:val="single" w:sz="4" w:space="0" w:color="auto"/>
              <w:right w:val="single" w:sz="4" w:space="0" w:color="auto"/>
            </w:tcBorders>
            <w:shd w:val="clear" w:color="auto" w:fill="auto"/>
            <w:noWrap/>
            <w:vAlign w:val="center"/>
          </w:tcPr>
          <w:p w:rsidR="00A50899" w:rsidRPr="00B72302" w:rsidRDefault="00A50899" w:rsidP="00A324B6">
            <w:pPr>
              <w:tabs>
                <w:tab w:val="left" w:pos="747"/>
              </w:tabs>
              <w:spacing w:before="80" w:after="80"/>
              <w:ind w:right="454"/>
              <w:jc w:val="right"/>
              <w:rPr>
                <w:rFonts w:ascii="Arial" w:hAnsi="Arial" w:cs="Arial"/>
                <w:color w:val="000000"/>
                <w:sz w:val="20"/>
                <w:szCs w:val="20"/>
              </w:rPr>
            </w:pPr>
            <w:r w:rsidRPr="00B72302">
              <w:rPr>
                <w:rFonts w:ascii="Arial" w:hAnsi="Arial" w:cs="Arial"/>
                <w:color w:val="000000"/>
                <w:sz w:val="20"/>
                <w:szCs w:val="20"/>
              </w:rPr>
              <w:t>28</w:t>
            </w:r>
          </w:p>
        </w:tc>
        <w:tc>
          <w:tcPr>
            <w:tcW w:w="905" w:type="pct"/>
            <w:tcBorders>
              <w:top w:val="single" w:sz="4" w:space="0" w:color="auto"/>
              <w:left w:val="nil"/>
              <w:bottom w:val="single" w:sz="4" w:space="0" w:color="auto"/>
              <w:right w:val="single" w:sz="4" w:space="0" w:color="auto"/>
            </w:tcBorders>
            <w:shd w:val="clear" w:color="auto" w:fill="auto"/>
            <w:vAlign w:val="center"/>
          </w:tcPr>
          <w:p w:rsidR="00A50899" w:rsidRPr="00B72302" w:rsidRDefault="00A50899" w:rsidP="00A324B6">
            <w:pPr>
              <w:spacing w:before="80" w:after="80"/>
              <w:ind w:right="380"/>
              <w:jc w:val="right"/>
              <w:rPr>
                <w:rFonts w:ascii="Arial" w:hAnsi="Arial" w:cs="Arial"/>
                <w:color w:val="000000"/>
                <w:sz w:val="20"/>
                <w:szCs w:val="20"/>
              </w:rPr>
            </w:pPr>
            <w:r w:rsidRPr="00B72302">
              <w:rPr>
                <w:rFonts w:ascii="Arial" w:hAnsi="Arial" w:cs="Arial"/>
                <w:color w:val="000000"/>
                <w:sz w:val="20"/>
                <w:szCs w:val="20"/>
              </w:rPr>
              <w:t>13</w:t>
            </w:r>
            <w:r>
              <w:rPr>
                <w:rFonts w:ascii="Arial" w:hAnsi="Arial" w:cs="Arial"/>
                <w:color w:val="000000"/>
                <w:sz w:val="20"/>
                <w:szCs w:val="20"/>
              </w:rPr>
              <w:t>,</w:t>
            </w:r>
            <w:r w:rsidRPr="00B72302">
              <w:rPr>
                <w:rFonts w:ascii="Arial" w:hAnsi="Arial" w:cs="Arial"/>
                <w:color w:val="000000"/>
                <w:sz w:val="20"/>
                <w:szCs w:val="20"/>
              </w:rPr>
              <w:t>2</w:t>
            </w:r>
          </w:p>
        </w:tc>
      </w:tr>
      <w:tr w:rsidR="00A50899" w:rsidRPr="00B72302" w:rsidTr="00A324B6">
        <w:trPr>
          <w:trHeight w:val="283"/>
        </w:trPr>
        <w:tc>
          <w:tcPr>
            <w:tcW w:w="30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B72302" w:rsidRDefault="00A50899" w:rsidP="00A324B6">
            <w:pPr>
              <w:spacing w:before="80" w:after="80"/>
              <w:rPr>
                <w:rFonts w:ascii="Arial" w:hAnsi="Arial" w:cs="Arial"/>
                <w:color w:val="000000"/>
                <w:sz w:val="20"/>
                <w:szCs w:val="20"/>
              </w:rPr>
            </w:pPr>
            <w:r>
              <w:rPr>
                <w:rFonts w:ascii="Arial" w:hAnsi="Arial" w:cs="Arial"/>
                <w:color w:val="000000"/>
                <w:sz w:val="20"/>
                <w:szCs w:val="20"/>
              </w:rPr>
              <w:t xml:space="preserve">3. </w:t>
            </w:r>
            <w:r w:rsidRPr="00A70D82">
              <w:rPr>
                <w:rFonts w:ascii="Arial" w:hAnsi="Arial" w:cs="Arial"/>
                <w:color w:val="000000"/>
                <w:sz w:val="20"/>
                <w:szCs w:val="20"/>
              </w:rPr>
              <w:t>Đ</w:t>
            </w:r>
            <w:r>
              <w:rPr>
                <w:rFonts w:ascii="Arial" w:hAnsi="Arial" w:cs="Arial"/>
                <w:color w:val="000000"/>
                <w:sz w:val="20"/>
                <w:szCs w:val="20"/>
              </w:rPr>
              <w:t>ồng bằng</w:t>
            </w:r>
            <w:r w:rsidRPr="00B72302">
              <w:rPr>
                <w:rFonts w:ascii="Arial" w:hAnsi="Arial" w:cs="Arial"/>
                <w:color w:val="000000"/>
                <w:sz w:val="20"/>
                <w:szCs w:val="20"/>
              </w:rPr>
              <w:t xml:space="preserve"> sông Hồng</w:t>
            </w:r>
            <w:r>
              <w:rPr>
                <w:rFonts w:ascii="Arial" w:hAnsi="Arial" w:cs="Arial"/>
                <w:color w:val="000000"/>
                <w:sz w:val="20"/>
                <w:szCs w:val="20"/>
              </w:rPr>
              <w:t xml:space="preserve"> </w:t>
            </w:r>
            <w:r w:rsidRPr="002B5B78">
              <w:rPr>
                <w:rFonts w:ascii="Arial" w:hAnsi="Arial" w:cs="Arial"/>
                <w:sz w:val="20"/>
                <w:szCs w:val="20"/>
              </w:rPr>
              <w:t>(</w:t>
            </w:r>
            <w:r>
              <w:rPr>
                <w:rFonts w:ascii="Arial" w:hAnsi="Arial" w:cs="Arial"/>
                <w:sz w:val="20"/>
                <w:szCs w:val="20"/>
              </w:rPr>
              <w:t>không tính</w:t>
            </w:r>
            <w:r w:rsidRPr="002B5B78">
              <w:rPr>
                <w:rFonts w:ascii="Arial" w:hAnsi="Arial" w:cs="Arial"/>
                <w:sz w:val="20"/>
                <w:szCs w:val="20"/>
              </w:rPr>
              <w:t xml:space="preserve"> Hà Nội)</w:t>
            </w:r>
          </w:p>
        </w:tc>
        <w:tc>
          <w:tcPr>
            <w:tcW w:w="998" w:type="pct"/>
            <w:tcBorders>
              <w:top w:val="single" w:sz="4" w:space="0" w:color="auto"/>
              <w:left w:val="nil"/>
              <w:bottom w:val="single" w:sz="4" w:space="0" w:color="auto"/>
              <w:right w:val="single" w:sz="4" w:space="0" w:color="auto"/>
            </w:tcBorders>
            <w:shd w:val="clear" w:color="auto" w:fill="auto"/>
            <w:noWrap/>
            <w:vAlign w:val="center"/>
          </w:tcPr>
          <w:p w:rsidR="00A50899" w:rsidRPr="00B72302" w:rsidRDefault="00A50899" w:rsidP="00A324B6">
            <w:pPr>
              <w:tabs>
                <w:tab w:val="left" w:pos="747"/>
              </w:tabs>
              <w:spacing w:before="80" w:after="80"/>
              <w:ind w:right="454"/>
              <w:jc w:val="right"/>
              <w:rPr>
                <w:rFonts w:ascii="Arial" w:hAnsi="Arial" w:cs="Arial"/>
                <w:color w:val="000000"/>
                <w:sz w:val="20"/>
                <w:szCs w:val="20"/>
              </w:rPr>
            </w:pPr>
            <w:r w:rsidRPr="00B72302">
              <w:rPr>
                <w:rFonts w:ascii="Arial" w:hAnsi="Arial" w:cs="Arial"/>
                <w:color w:val="000000"/>
                <w:sz w:val="20"/>
                <w:szCs w:val="20"/>
              </w:rPr>
              <w:t>16</w:t>
            </w:r>
          </w:p>
        </w:tc>
        <w:tc>
          <w:tcPr>
            <w:tcW w:w="905" w:type="pct"/>
            <w:tcBorders>
              <w:top w:val="single" w:sz="4" w:space="0" w:color="auto"/>
              <w:left w:val="nil"/>
              <w:bottom w:val="single" w:sz="4" w:space="0" w:color="auto"/>
              <w:right w:val="single" w:sz="4" w:space="0" w:color="auto"/>
            </w:tcBorders>
            <w:shd w:val="clear" w:color="auto" w:fill="auto"/>
            <w:vAlign w:val="center"/>
          </w:tcPr>
          <w:p w:rsidR="00A50899" w:rsidRPr="00B72302" w:rsidRDefault="00A50899" w:rsidP="00A324B6">
            <w:pPr>
              <w:spacing w:before="80" w:after="80"/>
              <w:ind w:right="380"/>
              <w:jc w:val="right"/>
              <w:rPr>
                <w:rFonts w:ascii="Arial" w:hAnsi="Arial" w:cs="Arial"/>
                <w:color w:val="000000"/>
                <w:sz w:val="20"/>
                <w:szCs w:val="20"/>
              </w:rPr>
            </w:pPr>
            <w:r w:rsidRPr="00B72302">
              <w:rPr>
                <w:rFonts w:ascii="Arial" w:hAnsi="Arial" w:cs="Arial"/>
                <w:color w:val="000000"/>
                <w:sz w:val="20"/>
                <w:szCs w:val="20"/>
              </w:rPr>
              <w:t>7</w:t>
            </w:r>
            <w:r>
              <w:rPr>
                <w:rFonts w:ascii="Arial" w:hAnsi="Arial" w:cs="Arial"/>
                <w:color w:val="000000"/>
                <w:sz w:val="20"/>
                <w:szCs w:val="20"/>
              </w:rPr>
              <w:t>,</w:t>
            </w:r>
            <w:r w:rsidRPr="00B72302">
              <w:rPr>
                <w:rFonts w:ascii="Arial" w:hAnsi="Arial" w:cs="Arial"/>
                <w:color w:val="000000"/>
                <w:sz w:val="20"/>
                <w:szCs w:val="20"/>
              </w:rPr>
              <w:t>5</w:t>
            </w:r>
          </w:p>
        </w:tc>
      </w:tr>
      <w:tr w:rsidR="00A50899" w:rsidRPr="00B72302" w:rsidTr="00A324B6">
        <w:trPr>
          <w:trHeight w:val="283"/>
        </w:trPr>
        <w:tc>
          <w:tcPr>
            <w:tcW w:w="30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B72302" w:rsidRDefault="00A50899" w:rsidP="00A324B6">
            <w:pPr>
              <w:spacing w:before="80" w:after="80"/>
              <w:rPr>
                <w:rFonts w:ascii="Arial" w:hAnsi="Arial" w:cs="Arial"/>
                <w:color w:val="000000"/>
                <w:sz w:val="20"/>
                <w:szCs w:val="20"/>
              </w:rPr>
            </w:pPr>
            <w:r>
              <w:rPr>
                <w:rFonts w:ascii="Arial" w:hAnsi="Arial" w:cs="Arial"/>
                <w:color w:val="000000"/>
                <w:sz w:val="20"/>
                <w:szCs w:val="20"/>
              </w:rPr>
              <w:t xml:space="preserve">4. </w:t>
            </w:r>
            <w:r w:rsidRPr="00B72302">
              <w:rPr>
                <w:rFonts w:ascii="Arial" w:hAnsi="Arial" w:cs="Arial"/>
                <w:color w:val="000000"/>
                <w:sz w:val="20"/>
                <w:szCs w:val="20"/>
              </w:rPr>
              <w:t xml:space="preserve">Trung du </w:t>
            </w:r>
            <w:r>
              <w:rPr>
                <w:rFonts w:ascii="Arial" w:hAnsi="Arial" w:cs="Arial"/>
                <w:color w:val="000000"/>
                <w:sz w:val="20"/>
                <w:szCs w:val="20"/>
              </w:rPr>
              <w:t xml:space="preserve">và </w:t>
            </w:r>
            <w:r w:rsidRPr="00B72302">
              <w:rPr>
                <w:rFonts w:ascii="Arial" w:hAnsi="Arial" w:cs="Arial"/>
                <w:color w:val="000000"/>
                <w:sz w:val="20"/>
                <w:szCs w:val="20"/>
              </w:rPr>
              <w:t>miền núi phía Bắc</w:t>
            </w:r>
          </w:p>
        </w:tc>
        <w:tc>
          <w:tcPr>
            <w:tcW w:w="998" w:type="pct"/>
            <w:tcBorders>
              <w:top w:val="single" w:sz="4" w:space="0" w:color="auto"/>
              <w:left w:val="nil"/>
              <w:bottom w:val="single" w:sz="4" w:space="0" w:color="auto"/>
              <w:right w:val="single" w:sz="4" w:space="0" w:color="auto"/>
            </w:tcBorders>
            <w:shd w:val="clear" w:color="auto" w:fill="auto"/>
            <w:noWrap/>
            <w:vAlign w:val="center"/>
          </w:tcPr>
          <w:p w:rsidR="00A50899" w:rsidRPr="00B72302" w:rsidRDefault="00A50899" w:rsidP="00A324B6">
            <w:pPr>
              <w:tabs>
                <w:tab w:val="left" w:pos="747"/>
              </w:tabs>
              <w:spacing w:before="80" w:after="80"/>
              <w:ind w:right="454"/>
              <w:jc w:val="right"/>
              <w:rPr>
                <w:rFonts w:ascii="Arial" w:hAnsi="Arial" w:cs="Arial"/>
                <w:color w:val="000000"/>
                <w:sz w:val="20"/>
                <w:szCs w:val="20"/>
              </w:rPr>
            </w:pPr>
            <w:r w:rsidRPr="00B72302">
              <w:rPr>
                <w:rFonts w:ascii="Arial" w:hAnsi="Arial" w:cs="Arial"/>
                <w:color w:val="000000"/>
                <w:sz w:val="20"/>
                <w:szCs w:val="20"/>
              </w:rPr>
              <w:t>22</w:t>
            </w:r>
          </w:p>
        </w:tc>
        <w:tc>
          <w:tcPr>
            <w:tcW w:w="905" w:type="pct"/>
            <w:tcBorders>
              <w:top w:val="single" w:sz="4" w:space="0" w:color="auto"/>
              <w:left w:val="nil"/>
              <w:bottom w:val="single" w:sz="4" w:space="0" w:color="auto"/>
              <w:right w:val="single" w:sz="4" w:space="0" w:color="auto"/>
            </w:tcBorders>
            <w:shd w:val="clear" w:color="auto" w:fill="auto"/>
            <w:vAlign w:val="center"/>
          </w:tcPr>
          <w:p w:rsidR="00A50899" w:rsidRPr="00B72302" w:rsidRDefault="00A50899" w:rsidP="00A324B6">
            <w:pPr>
              <w:spacing w:before="80" w:after="80"/>
              <w:ind w:right="380"/>
              <w:jc w:val="right"/>
              <w:rPr>
                <w:rFonts w:ascii="Arial" w:hAnsi="Arial" w:cs="Arial"/>
                <w:color w:val="000000"/>
                <w:sz w:val="20"/>
                <w:szCs w:val="20"/>
              </w:rPr>
            </w:pPr>
            <w:r w:rsidRPr="00B72302">
              <w:rPr>
                <w:rFonts w:ascii="Arial" w:hAnsi="Arial" w:cs="Arial"/>
                <w:color w:val="000000"/>
                <w:sz w:val="20"/>
                <w:szCs w:val="20"/>
              </w:rPr>
              <w:t>10</w:t>
            </w:r>
            <w:r>
              <w:rPr>
                <w:rFonts w:ascii="Arial" w:hAnsi="Arial" w:cs="Arial"/>
                <w:color w:val="000000"/>
                <w:sz w:val="20"/>
                <w:szCs w:val="20"/>
              </w:rPr>
              <w:t>,4</w:t>
            </w:r>
          </w:p>
        </w:tc>
      </w:tr>
      <w:tr w:rsidR="00A50899" w:rsidRPr="00B72302" w:rsidTr="00A324B6">
        <w:trPr>
          <w:trHeight w:val="283"/>
        </w:trPr>
        <w:tc>
          <w:tcPr>
            <w:tcW w:w="30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B72302" w:rsidRDefault="00A50899" w:rsidP="00A324B6">
            <w:pPr>
              <w:spacing w:before="80" w:after="80"/>
              <w:rPr>
                <w:rFonts w:ascii="Arial" w:hAnsi="Arial" w:cs="Arial"/>
                <w:color w:val="000000"/>
                <w:sz w:val="20"/>
                <w:szCs w:val="20"/>
              </w:rPr>
            </w:pPr>
            <w:r>
              <w:rPr>
                <w:rFonts w:ascii="Arial" w:hAnsi="Arial" w:cs="Arial"/>
                <w:color w:val="000000"/>
                <w:sz w:val="20"/>
                <w:szCs w:val="20"/>
              </w:rPr>
              <w:t>5. Bắc Trung B</w:t>
            </w:r>
            <w:r w:rsidRPr="00B72302">
              <w:rPr>
                <w:rFonts w:ascii="Arial" w:hAnsi="Arial" w:cs="Arial"/>
                <w:color w:val="000000"/>
                <w:sz w:val="20"/>
                <w:szCs w:val="20"/>
              </w:rPr>
              <w:t xml:space="preserve">ộ và duyên hải miền </w:t>
            </w:r>
            <w:r>
              <w:rPr>
                <w:rFonts w:ascii="Arial" w:hAnsi="Arial" w:cs="Arial"/>
                <w:color w:val="000000"/>
                <w:sz w:val="20"/>
                <w:szCs w:val="20"/>
              </w:rPr>
              <w:t>T</w:t>
            </w:r>
            <w:r w:rsidRPr="00B72302">
              <w:rPr>
                <w:rFonts w:ascii="Arial" w:hAnsi="Arial" w:cs="Arial"/>
                <w:color w:val="000000"/>
                <w:sz w:val="20"/>
                <w:szCs w:val="20"/>
              </w:rPr>
              <w:t>rung</w:t>
            </w:r>
          </w:p>
        </w:tc>
        <w:tc>
          <w:tcPr>
            <w:tcW w:w="998" w:type="pct"/>
            <w:tcBorders>
              <w:top w:val="single" w:sz="4" w:space="0" w:color="auto"/>
              <w:left w:val="nil"/>
              <w:bottom w:val="single" w:sz="4" w:space="0" w:color="auto"/>
              <w:right w:val="single" w:sz="4" w:space="0" w:color="auto"/>
            </w:tcBorders>
            <w:shd w:val="clear" w:color="auto" w:fill="auto"/>
            <w:noWrap/>
            <w:vAlign w:val="center"/>
          </w:tcPr>
          <w:p w:rsidR="00A50899" w:rsidRPr="00B72302" w:rsidRDefault="00A50899" w:rsidP="00A324B6">
            <w:pPr>
              <w:tabs>
                <w:tab w:val="left" w:pos="747"/>
              </w:tabs>
              <w:spacing w:before="80" w:after="80"/>
              <w:ind w:right="454"/>
              <w:jc w:val="right"/>
              <w:rPr>
                <w:rFonts w:ascii="Arial" w:hAnsi="Arial" w:cs="Arial"/>
                <w:color w:val="000000"/>
                <w:sz w:val="20"/>
                <w:szCs w:val="20"/>
              </w:rPr>
            </w:pPr>
            <w:r w:rsidRPr="00B72302">
              <w:rPr>
                <w:rFonts w:ascii="Arial" w:hAnsi="Arial" w:cs="Arial"/>
                <w:color w:val="000000"/>
                <w:sz w:val="20"/>
                <w:szCs w:val="20"/>
              </w:rPr>
              <w:t>39</w:t>
            </w:r>
          </w:p>
        </w:tc>
        <w:tc>
          <w:tcPr>
            <w:tcW w:w="905" w:type="pct"/>
            <w:tcBorders>
              <w:top w:val="single" w:sz="4" w:space="0" w:color="auto"/>
              <w:left w:val="nil"/>
              <w:bottom w:val="single" w:sz="4" w:space="0" w:color="auto"/>
              <w:right w:val="single" w:sz="4" w:space="0" w:color="auto"/>
            </w:tcBorders>
            <w:shd w:val="clear" w:color="auto" w:fill="auto"/>
            <w:vAlign w:val="center"/>
          </w:tcPr>
          <w:p w:rsidR="00A50899" w:rsidRPr="00B72302" w:rsidRDefault="00A50899" w:rsidP="00A324B6">
            <w:pPr>
              <w:spacing w:before="80" w:after="80"/>
              <w:ind w:right="380"/>
              <w:jc w:val="right"/>
              <w:rPr>
                <w:rFonts w:ascii="Arial" w:hAnsi="Arial" w:cs="Arial"/>
                <w:color w:val="000000"/>
                <w:sz w:val="20"/>
                <w:szCs w:val="20"/>
              </w:rPr>
            </w:pPr>
            <w:r w:rsidRPr="00B72302">
              <w:rPr>
                <w:rFonts w:ascii="Arial" w:hAnsi="Arial" w:cs="Arial"/>
                <w:color w:val="000000"/>
                <w:sz w:val="20"/>
                <w:szCs w:val="20"/>
              </w:rPr>
              <w:t>18</w:t>
            </w:r>
            <w:r>
              <w:rPr>
                <w:rFonts w:ascii="Arial" w:hAnsi="Arial" w:cs="Arial"/>
                <w:color w:val="000000"/>
                <w:sz w:val="20"/>
                <w:szCs w:val="20"/>
              </w:rPr>
              <w:t>,</w:t>
            </w:r>
            <w:r w:rsidRPr="00B72302">
              <w:rPr>
                <w:rFonts w:ascii="Arial" w:hAnsi="Arial" w:cs="Arial"/>
                <w:color w:val="000000"/>
                <w:sz w:val="20"/>
                <w:szCs w:val="20"/>
              </w:rPr>
              <w:t>4</w:t>
            </w:r>
          </w:p>
        </w:tc>
      </w:tr>
      <w:tr w:rsidR="00A50899" w:rsidRPr="00B72302" w:rsidTr="00A324B6">
        <w:trPr>
          <w:trHeight w:val="283"/>
        </w:trPr>
        <w:tc>
          <w:tcPr>
            <w:tcW w:w="30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B72302" w:rsidRDefault="00A50899" w:rsidP="00A324B6">
            <w:pPr>
              <w:spacing w:before="80" w:after="80"/>
              <w:rPr>
                <w:rFonts w:ascii="Arial" w:hAnsi="Arial" w:cs="Arial"/>
                <w:color w:val="000000"/>
                <w:sz w:val="20"/>
                <w:szCs w:val="20"/>
              </w:rPr>
            </w:pPr>
            <w:r>
              <w:rPr>
                <w:rFonts w:ascii="Arial" w:hAnsi="Arial" w:cs="Arial"/>
                <w:color w:val="000000"/>
                <w:sz w:val="20"/>
                <w:szCs w:val="20"/>
              </w:rPr>
              <w:t>6. Tây N</w:t>
            </w:r>
            <w:r w:rsidRPr="00B72302">
              <w:rPr>
                <w:rFonts w:ascii="Arial" w:hAnsi="Arial" w:cs="Arial"/>
                <w:color w:val="000000"/>
                <w:sz w:val="20"/>
                <w:szCs w:val="20"/>
              </w:rPr>
              <w:t>guyên</w:t>
            </w:r>
          </w:p>
        </w:tc>
        <w:tc>
          <w:tcPr>
            <w:tcW w:w="998" w:type="pct"/>
            <w:tcBorders>
              <w:top w:val="single" w:sz="4" w:space="0" w:color="auto"/>
              <w:left w:val="nil"/>
              <w:bottom w:val="single" w:sz="4" w:space="0" w:color="auto"/>
              <w:right w:val="single" w:sz="4" w:space="0" w:color="auto"/>
            </w:tcBorders>
            <w:shd w:val="clear" w:color="auto" w:fill="auto"/>
            <w:noWrap/>
            <w:vAlign w:val="center"/>
          </w:tcPr>
          <w:p w:rsidR="00A50899" w:rsidRPr="00B72302" w:rsidRDefault="00A50899" w:rsidP="00A324B6">
            <w:pPr>
              <w:tabs>
                <w:tab w:val="left" w:pos="747"/>
              </w:tabs>
              <w:spacing w:before="80" w:after="80"/>
              <w:ind w:right="454"/>
              <w:jc w:val="right"/>
              <w:rPr>
                <w:rFonts w:ascii="Arial" w:hAnsi="Arial" w:cs="Arial"/>
                <w:color w:val="000000"/>
                <w:sz w:val="20"/>
                <w:szCs w:val="20"/>
              </w:rPr>
            </w:pPr>
            <w:r w:rsidRPr="00B72302">
              <w:rPr>
                <w:rFonts w:ascii="Arial" w:hAnsi="Arial" w:cs="Arial"/>
                <w:color w:val="000000"/>
                <w:sz w:val="20"/>
                <w:szCs w:val="20"/>
              </w:rPr>
              <w:t>4</w:t>
            </w:r>
          </w:p>
        </w:tc>
        <w:tc>
          <w:tcPr>
            <w:tcW w:w="905" w:type="pct"/>
            <w:tcBorders>
              <w:top w:val="single" w:sz="4" w:space="0" w:color="auto"/>
              <w:left w:val="nil"/>
              <w:bottom w:val="single" w:sz="4" w:space="0" w:color="auto"/>
              <w:right w:val="single" w:sz="4" w:space="0" w:color="auto"/>
            </w:tcBorders>
            <w:shd w:val="clear" w:color="auto" w:fill="auto"/>
            <w:vAlign w:val="center"/>
          </w:tcPr>
          <w:p w:rsidR="00A50899" w:rsidRPr="00B72302" w:rsidRDefault="00A50899" w:rsidP="00A324B6">
            <w:pPr>
              <w:spacing w:before="80" w:after="80"/>
              <w:ind w:right="380"/>
              <w:jc w:val="right"/>
              <w:rPr>
                <w:rFonts w:ascii="Arial" w:hAnsi="Arial" w:cs="Arial"/>
                <w:color w:val="000000"/>
                <w:sz w:val="20"/>
                <w:szCs w:val="20"/>
              </w:rPr>
            </w:pPr>
            <w:r w:rsidRPr="00B72302">
              <w:rPr>
                <w:rFonts w:ascii="Arial" w:hAnsi="Arial" w:cs="Arial"/>
                <w:color w:val="000000"/>
                <w:sz w:val="20"/>
                <w:szCs w:val="20"/>
              </w:rPr>
              <w:t>1</w:t>
            </w:r>
            <w:r>
              <w:rPr>
                <w:rFonts w:ascii="Arial" w:hAnsi="Arial" w:cs="Arial"/>
                <w:color w:val="000000"/>
                <w:sz w:val="20"/>
                <w:szCs w:val="20"/>
              </w:rPr>
              <w:t>,</w:t>
            </w:r>
            <w:r w:rsidRPr="00B72302">
              <w:rPr>
                <w:rFonts w:ascii="Arial" w:hAnsi="Arial" w:cs="Arial"/>
                <w:color w:val="000000"/>
                <w:sz w:val="20"/>
                <w:szCs w:val="20"/>
              </w:rPr>
              <w:t>9</w:t>
            </w:r>
          </w:p>
        </w:tc>
      </w:tr>
      <w:tr w:rsidR="00A50899" w:rsidRPr="00B72302" w:rsidTr="00A324B6">
        <w:trPr>
          <w:trHeight w:val="283"/>
        </w:trPr>
        <w:tc>
          <w:tcPr>
            <w:tcW w:w="30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B72302" w:rsidRDefault="00A50899" w:rsidP="00A324B6">
            <w:pPr>
              <w:spacing w:before="80" w:after="80"/>
              <w:rPr>
                <w:rFonts w:ascii="Arial" w:hAnsi="Arial" w:cs="Arial"/>
                <w:color w:val="000000"/>
                <w:sz w:val="20"/>
                <w:szCs w:val="20"/>
              </w:rPr>
            </w:pPr>
            <w:r>
              <w:rPr>
                <w:rFonts w:ascii="Arial" w:hAnsi="Arial" w:cs="Arial"/>
                <w:color w:val="000000"/>
                <w:sz w:val="20"/>
                <w:szCs w:val="20"/>
              </w:rPr>
              <w:t>7. Đông Nam Bộ (không tính</w:t>
            </w:r>
            <w:r w:rsidRPr="002B5B78">
              <w:rPr>
                <w:rFonts w:ascii="Arial" w:hAnsi="Arial" w:cs="Arial"/>
                <w:sz w:val="20"/>
                <w:szCs w:val="20"/>
              </w:rPr>
              <w:t xml:space="preserve"> T</w:t>
            </w:r>
            <w:r>
              <w:rPr>
                <w:rFonts w:ascii="Arial" w:hAnsi="Arial" w:cs="Arial"/>
                <w:sz w:val="20"/>
                <w:szCs w:val="20"/>
              </w:rPr>
              <w:t>P</w:t>
            </w:r>
            <w:r w:rsidRPr="002B5B78">
              <w:rPr>
                <w:rFonts w:ascii="Arial" w:hAnsi="Arial" w:cs="Arial"/>
                <w:sz w:val="20"/>
                <w:szCs w:val="20"/>
              </w:rPr>
              <w:t>. H</w:t>
            </w:r>
            <w:r>
              <w:rPr>
                <w:rFonts w:ascii="Arial" w:hAnsi="Arial" w:cs="Arial"/>
                <w:sz w:val="20"/>
                <w:szCs w:val="20"/>
              </w:rPr>
              <w:t xml:space="preserve">ồ </w:t>
            </w:r>
            <w:r w:rsidRPr="002B5B78">
              <w:rPr>
                <w:rFonts w:ascii="Arial" w:hAnsi="Arial" w:cs="Arial"/>
                <w:sz w:val="20"/>
                <w:szCs w:val="20"/>
              </w:rPr>
              <w:t>C</w:t>
            </w:r>
            <w:r>
              <w:rPr>
                <w:rFonts w:ascii="Arial" w:hAnsi="Arial" w:cs="Arial"/>
                <w:sz w:val="20"/>
                <w:szCs w:val="20"/>
              </w:rPr>
              <w:t xml:space="preserve">hí </w:t>
            </w:r>
            <w:r w:rsidRPr="002B5B78">
              <w:rPr>
                <w:rFonts w:ascii="Arial" w:hAnsi="Arial" w:cs="Arial"/>
                <w:sz w:val="20"/>
                <w:szCs w:val="20"/>
              </w:rPr>
              <w:t>M</w:t>
            </w:r>
            <w:r>
              <w:rPr>
                <w:rFonts w:ascii="Arial" w:hAnsi="Arial" w:cs="Arial"/>
                <w:sz w:val="20"/>
                <w:szCs w:val="20"/>
              </w:rPr>
              <w:t>inh</w:t>
            </w:r>
            <w:r w:rsidRPr="002B5B78">
              <w:rPr>
                <w:rFonts w:ascii="Arial" w:hAnsi="Arial" w:cs="Arial"/>
                <w:sz w:val="20"/>
                <w:szCs w:val="20"/>
              </w:rPr>
              <w:t>)</w:t>
            </w:r>
          </w:p>
        </w:tc>
        <w:tc>
          <w:tcPr>
            <w:tcW w:w="998" w:type="pct"/>
            <w:tcBorders>
              <w:top w:val="single" w:sz="4" w:space="0" w:color="auto"/>
              <w:left w:val="nil"/>
              <w:bottom w:val="single" w:sz="4" w:space="0" w:color="auto"/>
              <w:right w:val="single" w:sz="4" w:space="0" w:color="auto"/>
            </w:tcBorders>
            <w:shd w:val="clear" w:color="auto" w:fill="auto"/>
            <w:noWrap/>
            <w:vAlign w:val="center"/>
          </w:tcPr>
          <w:p w:rsidR="00A50899" w:rsidRPr="00B72302" w:rsidRDefault="00A50899" w:rsidP="00A324B6">
            <w:pPr>
              <w:tabs>
                <w:tab w:val="left" w:pos="747"/>
              </w:tabs>
              <w:spacing w:before="80" w:after="80"/>
              <w:ind w:right="454"/>
              <w:jc w:val="right"/>
              <w:rPr>
                <w:rFonts w:ascii="Arial" w:hAnsi="Arial" w:cs="Arial"/>
                <w:color w:val="000000"/>
                <w:sz w:val="20"/>
                <w:szCs w:val="20"/>
              </w:rPr>
            </w:pPr>
            <w:r w:rsidRPr="00B72302">
              <w:rPr>
                <w:rFonts w:ascii="Arial" w:hAnsi="Arial" w:cs="Arial"/>
                <w:color w:val="000000"/>
                <w:sz w:val="20"/>
                <w:szCs w:val="20"/>
              </w:rPr>
              <w:t>13</w:t>
            </w:r>
          </w:p>
        </w:tc>
        <w:tc>
          <w:tcPr>
            <w:tcW w:w="905" w:type="pct"/>
            <w:tcBorders>
              <w:top w:val="single" w:sz="4" w:space="0" w:color="auto"/>
              <w:left w:val="nil"/>
              <w:bottom w:val="single" w:sz="4" w:space="0" w:color="auto"/>
              <w:right w:val="single" w:sz="4" w:space="0" w:color="auto"/>
            </w:tcBorders>
            <w:shd w:val="clear" w:color="auto" w:fill="auto"/>
            <w:vAlign w:val="center"/>
          </w:tcPr>
          <w:p w:rsidR="00A50899" w:rsidRPr="00B72302" w:rsidRDefault="00A50899" w:rsidP="00A324B6">
            <w:pPr>
              <w:spacing w:before="80" w:after="80"/>
              <w:ind w:right="380"/>
              <w:jc w:val="right"/>
              <w:rPr>
                <w:rFonts w:ascii="Arial" w:hAnsi="Arial" w:cs="Arial"/>
                <w:color w:val="000000"/>
                <w:sz w:val="20"/>
                <w:szCs w:val="20"/>
              </w:rPr>
            </w:pPr>
            <w:r w:rsidRPr="00B72302">
              <w:rPr>
                <w:rFonts w:ascii="Arial" w:hAnsi="Arial" w:cs="Arial"/>
                <w:color w:val="000000"/>
                <w:sz w:val="20"/>
                <w:szCs w:val="20"/>
              </w:rPr>
              <w:t>6</w:t>
            </w:r>
            <w:r>
              <w:rPr>
                <w:rFonts w:ascii="Arial" w:hAnsi="Arial" w:cs="Arial"/>
                <w:color w:val="000000"/>
                <w:sz w:val="20"/>
                <w:szCs w:val="20"/>
              </w:rPr>
              <w:t>,</w:t>
            </w:r>
            <w:r w:rsidRPr="00B72302">
              <w:rPr>
                <w:rFonts w:ascii="Arial" w:hAnsi="Arial" w:cs="Arial"/>
                <w:color w:val="000000"/>
                <w:sz w:val="20"/>
                <w:szCs w:val="20"/>
              </w:rPr>
              <w:t>1</w:t>
            </w:r>
          </w:p>
        </w:tc>
      </w:tr>
      <w:tr w:rsidR="00A50899" w:rsidRPr="00B72302" w:rsidTr="00A324B6">
        <w:trPr>
          <w:trHeight w:val="283"/>
        </w:trPr>
        <w:tc>
          <w:tcPr>
            <w:tcW w:w="30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0899" w:rsidRPr="00B72302" w:rsidRDefault="00A50899" w:rsidP="00A324B6">
            <w:pPr>
              <w:spacing w:before="80" w:after="80"/>
              <w:rPr>
                <w:rFonts w:ascii="Arial" w:hAnsi="Arial" w:cs="Arial"/>
                <w:color w:val="000000"/>
                <w:sz w:val="20"/>
                <w:szCs w:val="20"/>
              </w:rPr>
            </w:pPr>
            <w:r>
              <w:rPr>
                <w:rFonts w:ascii="Arial" w:hAnsi="Arial" w:cs="Arial"/>
                <w:color w:val="000000"/>
                <w:sz w:val="20"/>
                <w:szCs w:val="20"/>
              </w:rPr>
              <w:t xml:space="preserve">8. </w:t>
            </w:r>
            <w:r w:rsidRPr="00A70D82">
              <w:rPr>
                <w:rFonts w:ascii="Arial" w:hAnsi="Arial" w:cs="Arial"/>
                <w:color w:val="000000"/>
                <w:sz w:val="20"/>
                <w:szCs w:val="20"/>
              </w:rPr>
              <w:t>Đ</w:t>
            </w:r>
            <w:r>
              <w:rPr>
                <w:rFonts w:ascii="Arial" w:hAnsi="Arial" w:cs="Arial"/>
                <w:color w:val="000000"/>
                <w:sz w:val="20"/>
                <w:szCs w:val="20"/>
              </w:rPr>
              <w:t>ồng bằng sông Cửu L</w:t>
            </w:r>
            <w:r w:rsidRPr="00B72302">
              <w:rPr>
                <w:rFonts w:ascii="Arial" w:hAnsi="Arial" w:cs="Arial"/>
                <w:color w:val="000000"/>
                <w:sz w:val="20"/>
                <w:szCs w:val="20"/>
              </w:rPr>
              <w:t>ong</w:t>
            </w:r>
          </w:p>
        </w:tc>
        <w:tc>
          <w:tcPr>
            <w:tcW w:w="998" w:type="pct"/>
            <w:tcBorders>
              <w:top w:val="single" w:sz="4" w:space="0" w:color="auto"/>
              <w:left w:val="nil"/>
              <w:bottom w:val="single" w:sz="4" w:space="0" w:color="auto"/>
              <w:right w:val="single" w:sz="4" w:space="0" w:color="auto"/>
            </w:tcBorders>
            <w:shd w:val="clear" w:color="auto" w:fill="auto"/>
            <w:noWrap/>
            <w:vAlign w:val="center"/>
          </w:tcPr>
          <w:p w:rsidR="00A50899" w:rsidRPr="00B72302" w:rsidRDefault="00A50899" w:rsidP="00A324B6">
            <w:pPr>
              <w:tabs>
                <w:tab w:val="left" w:pos="747"/>
              </w:tabs>
              <w:spacing w:before="80" w:after="80"/>
              <w:ind w:right="454"/>
              <w:jc w:val="right"/>
              <w:rPr>
                <w:rFonts w:ascii="Arial" w:hAnsi="Arial" w:cs="Arial"/>
                <w:color w:val="000000"/>
                <w:sz w:val="20"/>
                <w:szCs w:val="20"/>
              </w:rPr>
            </w:pPr>
            <w:r w:rsidRPr="00B72302">
              <w:rPr>
                <w:rFonts w:ascii="Arial" w:hAnsi="Arial" w:cs="Arial"/>
                <w:color w:val="000000"/>
                <w:sz w:val="20"/>
                <w:szCs w:val="20"/>
              </w:rPr>
              <w:t>25</w:t>
            </w:r>
          </w:p>
        </w:tc>
        <w:tc>
          <w:tcPr>
            <w:tcW w:w="905" w:type="pct"/>
            <w:tcBorders>
              <w:top w:val="single" w:sz="4" w:space="0" w:color="auto"/>
              <w:left w:val="nil"/>
              <w:bottom w:val="single" w:sz="4" w:space="0" w:color="auto"/>
              <w:right w:val="single" w:sz="4" w:space="0" w:color="auto"/>
            </w:tcBorders>
            <w:shd w:val="clear" w:color="auto" w:fill="auto"/>
            <w:vAlign w:val="center"/>
          </w:tcPr>
          <w:p w:rsidR="00A50899" w:rsidRPr="00B72302" w:rsidRDefault="00A50899" w:rsidP="00A324B6">
            <w:pPr>
              <w:spacing w:before="80" w:after="80"/>
              <w:ind w:right="380"/>
              <w:jc w:val="right"/>
              <w:rPr>
                <w:rFonts w:ascii="Arial" w:hAnsi="Arial" w:cs="Arial"/>
                <w:color w:val="000000"/>
                <w:sz w:val="20"/>
                <w:szCs w:val="20"/>
              </w:rPr>
            </w:pPr>
            <w:r w:rsidRPr="00B72302">
              <w:rPr>
                <w:rFonts w:ascii="Arial" w:hAnsi="Arial" w:cs="Arial"/>
                <w:color w:val="000000"/>
                <w:sz w:val="20"/>
                <w:szCs w:val="20"/>
              </w:rPr>
              <w:t>11</w:t>
            </w:r>
            <w:r>
              <w:rPr>
                <w:rFonts w:ascii="Arial" w:hAnsi="Arial" w:cs="Arial"/>
                <w:color w:val="000000"/>
                <w:sz w:val="20"/>
                <w:szCs w:val="20"/>
              </w:rPr>
              <w:t>,8</w:t>
            </w:r>
          </w:p>
        </w:tc>
      </w:tr>
      <w:tr w:rsidR="00A50899" w:rsidRPr="00CF460E" w:rsidTr="00A324B6">
        <w:trPr>
          <w:trHeight w:val="360"/>
        </w:trPr>
        <w:tc>
          <w:tcPr>
            <w:tcW w:w="3097" w:type="pct"/>
            <w:tcBorders>
              <w:top w:val="single" w:sz="4" w:space="0" w:color="auto"/>
              <w:left w:val="single" w:sz="4" w:space="0" w:color="auto"/>
              <w:bottom w:val="single" w:sz="4" w:space="0" w:color="auto"/>
              <w:right w:val="single" w:sz="4" w:space="0" w:color="auto"/>
            </w:tcBorders>
            <w:shd w:val="clear" w:color="auto" w:fill="auto"/>
            <w:vAlign w:val="center"/>
          </w:tcPr>
          <w:p w:rsidR="00A50899" w:rsidRPr="00CF460E" w:rsidRDefault="00A50899" w:rsidP="00A324B6">
            <w:pPr>
              <w:spacing w:before="80" w:after="80"/>
              <w:rPr>
                <w:rFonts w:ascii="Arial" w:hAnsi="Arial" w:cs="Arial"/>
                <w:b/>
                <w:bCs/>
                <w:i/>
                <w:iCs/>
                <w:color w:val="000000"/>
                <w:sz w:val="20"/>
                <w:szCs w:val="20"/>
              </w:rPr>
            </w:pPr>
            <w:r w:rsidRPr="00CF460E">
              <w:rPr>
                <w:rFonts w:ascii="Arial" w:hAnsi="Arial" w:cs="Arial"/>
                <w:b/>
                <w:bCs/>
                <w:i/>
                <w:iCs/>
                <w:color w:val="000000"/>
                <w:sz w:val="20"/>
                <w:szCs w:val="20"/>
              </w:rPr>
              <w:t>Toàn bộ</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A50899" w:rsidRPr="00CF460E" w:rsidRDefault="00A50899" w:rsidP="00A324B6">
            <w:pPr>
              <w:tabs>
                <w:tab w:val="left" w:pos="747"/>
              </w:tabs>
              <w:spacing w:before="80" w:after="80"/>
              <w:ind w:right="454"/>
              <w:jc w:val="right"/>
              <w:rPr>
                <w:rFonts w:ascii="Arial" w:hAnsi="Arial" w:cs="Arial"/>
                <w:b/>
                <w:bCs/>
                <w:i/>
                <w:iCs/>
                <w:color w:val="000000"/>
                <w:sz w:val="20"/>
                <w:szCs w:val="20"/>
              </w:rPr>
            </w:pPr>
            <w:r w:rsidRPr="00CF460E">
              <w:rPr>
                <w:rFonts w:ascii="Arial" w:hAnsi="Arial" w:cs="Arial"/>
                <w:b/>
                <w:bCs/>
                <w:i/>
                <w:iCs/>
                <w:color w:val="000000"/>
                <w:sz w:val="20"/>
                <w:szCs w:val="20"/>
              </w:rPr>
              <w:t>212</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A50899" w:rsidRPr="00CF460E" w:rsidRDefault="00A50899" w:rsidP="00A324B6">
            <w:pPr>
              <w:spacing w:before="80" w:after="80"/>
              <w:ind w:right="380"/>
              <w:jc w:val="right"/>
              <w:rPr>
                <w:rFonts w:ascii="Arial" w:hAnsi="Arial" w:cs="Arial"/>
                <w:b/>
                <w:bCs/>
                <w:i/>
                <w:iCs/>
                <w:color w:val="000000"/>
                <w:sz w:val="20"/>
                <w:szCs w:val="20"/>
              </w:rPr>
            </w:pPr>
            <w:r w:rsidRPr="00CF460E">
              <w:rPr>
                <w:rFonts w:ascii="Arial" w:hAnsi="Arial" w:cs="Arial"/>
                <w:b/>
                <w:bCs/>
                <w:i/>
                <w:iCs/>
                <w:color w:val="000000"/>
                <w:sz w:val="20"/>
                <w:szCs w:val="20"/>
              </w:rPr>
              <w:t>100</w:t>
            </w:r>
          </w:p>
        </w:tc>
      </w:tr>
    </w:tbl>
    <w:p w:rsidR="00A50899" w:rsidRDefault="00A50899" w:rsidP="00A50899">
      <w:pPr>
        <w:pStyle w:val="nguon"/>
        <w:spacing w:after="100"/>
      </w:pPr>
      <w:r w:rsidRPr="00F74739">
        <w:t>Nguồn: Điều tra tiềm lực của các tổ chức khoa học và công nghệ, năm 2014</w:t>
      </w:r>
      <w:r>
        <w:t>.</w:t>
      </w:r>
    </w:p>
    <w:p w:rsidR="00A50899" w:rsidRPr="00D116F4" w:rsidRDefault="00A50899" w:rsidP="00A50899">
      <w:pPr>
        <w:pStyle w:val="khcnvn"/>
        <w:ind w:firstLine="0"/>
        <w:jc w:val="center"/>
      </w:pPr>
      <w:r w:rsidRPr="00D116F4">
        <w:rPr>
          <w:noProof/>
          <w:lang w:val="en-US" w:eastAsia="en-US"/>
        </w:rPr>
        <w:lastRenderedPageBreak/>
        <w:drawing>
          <wp:inline distT="0" distB="0" distL="0" distR="0" wp14:anchorId="77E764D6" wp14:editId="031457B6">
            <wp:extent cx="4220845" cy="2456180"/>
            <wp:effectExtent l="0" t="0" r="825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b="6677"/>
                    <a:stretch>
                      <a:fillRect/>
                    </a:stretch>
                  </pic:blipFill>
                  <pic:spPr bwMode="auto">
                    <a:xfrm>
                      <a:off x="0" y="0"/>
                      <a:ext cx="4220845" cy="2456180"/>
                    </a:xfrm>
                    <a:prstGeom prst="rect">
                      <a:avLst/>
                    </a:prstGeom>
                    <a:noFill/>
                    <a:ln>
                      <a:noFill/>
                    </a:ln>
                  </pic:spPr>
                </pic:pic>
              </a:graphicData>
            </a:graphic>
          </wp:inline>
        </w:drawing>
      </w:r>
    </w:p>
    <w:p w:rsidR="00A50899" w:rsidRPr="00A05AE4" w:rsidRDefault="00A50899" w:rsidP="00A50899">
      <w:pPr>
        <w:pStyle w:val="khcnvntenhinh"/>
        <w:rPr>
          <w:rFonts w:eastAsia="Calibri"/>
        </w:rPr>
      </w:pPr>
      <w:bookmarkStart w:id="19" w:name="_Toc453341470"/>
      <w:r w:rsidRPr="00A05AE4">
        <w:rPr>
          <w:rFonts w:eastAsia="Calibri"/>
          <w:b/>
          <w:i/>
        </w:rPr>
        <w:t xml:space="preserve">Hình </w:t>
      </w:r>
      <w:r>
        <w:rPr>
          <w:rFonts w:eastAsia="Calibri"/>
          <w:b/>
          <w:i/>
        </w:rPr>
        <w:t>1</w:t>
      </w:r>
      <w:r w:rsidRPr="00A05AE4">
        <w:rPr>
          <w:rFonts w:eastAsia="Calibri"/>
          <w:b/>
          <w:i/>
        </w:rPr>
        <w:t xml:space="preserve">.6. </w:t>
      </w:r>
      <w:r w:rsidRPr="00A05AE4">
        <w:rPr>
          <w:rFonts w:eastAsia="Calibri"/>
          <w:lang w:val="vi-VN"/>
        </w:rPr>
        <w:t>Phân bố các tổ chức dịch vụ KH&amp;CN theo vùng địa lý</w:t>
      </w:r>
      <w:bookmarkEnd w:id="19"/>
      <w:r w:rsidRPr="00A05AE4">
        <w:rPr>
          <w:rFonts w:eastAsia="Calibri"/>
        </w:rPr>
        <w:t xml:space="preserve"> </w:t>
      </w:r>
    </w:p>
    <w:p w:rsidR="00A50899" w:rsidRPr="004101E2" w:rsidRDefault="00A50899" w:rsidP="00A50899">
      <w:pPr>
        <w:pStyle w:val="bodyA0"/>
        <w:spacing w:line="286" w:lineRule="auto"/>
      </w:pPr>
      <w:r w:rsidRPr="004101E2">
        <w:t xml:space="preserve">Đến </w:t>
      </w:r>
      <w:r>
        <w:t xml:space="preserve">ngày </w:t>
      </w:r>
      <w:r w:rsidRPr="004101E2">
        <w:t>31/12/2013, cả nước có 151 tổ chức được ghi nhận đủ điều kiện hành nghề dịch vụ SHCN và có 313 cá nhân được cấp Chứng chỉ hành nghề dịch vụ đại diện SHCN.</w:t>
      </w:r>
    </w:p>
    <w:p w:rsidR="00A50899" w:rsidRDefault="00A50899" w:rsidP="00A50899">
      <w:pPr>
        <w:pStyle w:val="bodyA0"/>
        <w:spacing w:line="286" w:lineRule="auto"/>
        <w:rPr>
          <w:rFonts w:ascii="Arial" w:hAnsi="Arial" w:cs="Arial"/>
          <w:b/>
          <w:bCs/>
          <w:iCs/>
          <w:color w:val="000000"/>
          <w:sz w:val="20"/>
          <w:szCs w:val="20"/>
        </w:rPr>
      </w:pPr>
      <w:r w:rsidRPr="00CA0F8C">
        <w:t>Các tổ chức dịch vụ KH&amp;CN hoạt động trong lĩnh vực tiêu chuẩn, đo lường, chất lượng phục vụ cho các yêu cầu quản lý nhà nước trong các vấn đề có liên quan đến an toàn, sức khoẻ, bảo vệ môi trường, bảo vệ quyền lợi của người tiêu dùng, đồng thời phục vụ cho các yêu cầu sản xuất, kinh doanh, hội nhập quốc tế.</w:t>
      </w:r>
    </w:p>
    <w:p w:rsidR="00A50899" w:rsidRPr="00CA0F8C" w:rsidRDefault="00A50899" w:rsidP="00A50899">
      <w:pPr>
        <w:pStyle w:val="bodyA0"/>
        <w:spacing w:line="288" w:lineRule="auto"/>
      </w:pPr>
      <w:r w:rsidRPr="000850EF">
        <w:rPr>
          <w:spacing w:val="-4"/>
        </w:rPr>
        <w:t>Việc xây dựng Tiêu chuẩn Việt Nam do Viện Tiêu chuẩn Chất lượng</w:t>
      </w:r>
      <w:r w:rsidRPr="00CA0F8C">
        <w:t xml:space="preserve"> Việt Nam chủ trì</w:t>
      </w:r>
      <w:r>
        <w:t>, hiện nay</w:t>
      </w:r>
      <w:r w:rsidRPr="00CA0F8C">
        <w:t xml:space="preserve"> có 119 Ban</w:t>
      </w:r>
      <w:r>
        <w:t xml:space="preserve"> </w:t>
      </w:r>
      <w:r w:rsidRPr="00CA0F8C">
        <w:t>kỹ thuật tiêu chuẩn quốc gia</w:t>
      </w:r>
      <w:r>
        <w:t xml:space="preserve">, </w:t>
      </w:r>
      <w:r w:rsidRPr="00CA0F8C">
        <w:t>36 tổ chức chứng nhận (chứng nhận hệ thống và chứng nhận sản phẩm) đã đăng ký lĩnh vực hoạt động tại Tổng cục T</w:t>
      </w:r>
      <w:r>
        <w:t xml:space="preserve">iêu chuẩn </w:t>
      </w:r>
      <w:r w:rsidRPr="00CA0F8C">
        <w:t>Đ</w:t>
      </w:r>
      <w:r>
        <w:t xml:space="preserve">o lường </w:t>
      </w:r>
      <w:r w:rsidRPr="00CA0F8C">
        <w:t>C</w:t>
      </w:r>
      <w:r>
        <w:t>hất lượng</w:t>
      </w:r>
      <w:r w:rsidRPr="00CA0F8C">
        <w:t>, trong đó có các tổ chức thuộc Tổng cục T</w:t>
      </w:r>
      <w:r>
        <w:t xml:space="preserve">iêu chuẩn </w:t>
      </w:r>
      <w:r w:rsidRPr="00CA0F8C">
        <w:t>Đ</w:t>
      </w:r>
      <w:r>
        <w:t xml:space="preserve">o </w:t>
      </w:r>
      <w:r w:rsidRPr="003C482C">
        <w:rPr>
          <w:spacing w:val="-2"/>
        </w:rPr>
        <w:t>lường Chất lượng như Trung tâm Kỹ thuật Tiêu chuẩn Đo lường Chất lượng 1,</w:t>
      </w:r>
      <w:r>
        <w:rPr>
          <w:spacing w:val="-2"/>
        </w:rPr>
        <w:t xml:space="preserve"> </w:t>
      </w:r>
      <w:r w:rsidRPr="003C482C">
        <w:rPr>
          <w:spacing w:val="-2"/>
        </w:rPr>
        <w:t>2,</w:t>
      </w:r>
      <w:r>
        <w:rPr>
          <w:spacing w:val="-2"/>
        </w:rPr>
        <w:t xml:space="preserve"> </w:t>
      </w:r>
      <w:r w:rsidRPr="003C482C">
        <w:rPr>
          <w:spacing w:val="-2"/>
        </w:rPr>
        <w:t>3 (Quatest 1,</w:t>
      </w:r>
      <w:r>
        <w:rPr>
          <w:spacing w:val="-2"/>
        </w:rPr>
        <w:t xml:space="preserve"> </w:t>
      </w:r>
      <w:r w:rsidRPr="003C482C">
        <w:rPr>
          <w:spacing w:val="-2"/>
        </w:rPr>
        <w:t>2,</w:t>
      </w:r>
      <w:r>
        <w:rPr>
          <w:spacing w:val="-2"/>
        </w:rPr>
        <w:t xml:space="preserve"> </w:t>
      </w:r>
      <w:r w:rsidRPr="003C482C">
        <w:rPr>
          <w:spacing w:val="-2"/>
        </w:rPr>
        <w:t>3), Trung tâm Chứng nhận Phù hợp (Quacer</w:t>
      </w:r>
      <w:r>
        <w:rPr>
          <w:spacing w:val="-2"/>
        </w:rPr>
        <w:t>t)</w:t>
      </w:r>
      <w:r w:rsidRPr="003C482C">
        <w:rPr>
          <w:spacing w:val="-2"/>
        </w:rPr>
        <w:t>...</w:t>
      </w:r>
    </w:p>
    <w:p w:rsidR="00A50899" w:rsidRPr="004D07A8" w:rsidRDefault="00A50899" w:rsidP="00A50899">
      <w:pPr>
        <w:pStyle w:val="bodyA0"/>
        <w:spacing w:line="288" w:lineRule="auto"/>
        <w:rPr>
          <w:spacing w:val="-4"/>
        </w:rPr>
      </w:pPr>
      <w:r w:rsidRPr="004D07A8">
        <w:rPr>
          <w:spacing w:val="-4"/>
        </w:rPr>
        <w:t>Hoạt động thông tin đã tạo thành mạng lưới tổ chức thông tin KH&amp;CN rộng khắp với hàng trăm tổ chức, đơn vị thông tin KH&amp;</w:t>
      </w:r>
      <w:r>
        <w:rPr>
          <w:spacing w:val="-4"/>
        </w:rPr>
        <w:t>CN hoạt động ở Trung ương, các B</w:t>
      </w:r>
      <w:r w:rsidRPr="004D07A8">
        <w:rPr>
          <w:spacing w:val="-4"/>
        </w:rPr>
        <w:t>ộ, ngành, các tổng công ty và ở các địa phương.</w:t>
      </w:r>
    </w:p>
    <w:p w:rsidR="00A50899" w:rsidRPr="004101E2" w:rsidRDefault="00A50899" w:rsidP="00A50899">
      <w:pPr>
        <w:pStyle w:val="bodyA0"/>
        <w:spacing w:line="288" w:lineRule="auto"/>
      </w:pPr>
      <w:r w:rsidRPr="004101E2">
        <w:t xml:space="preserve">Nhằm gắn chặt KH&amp;CN với sản xuất, kinh doanh, đưa nhanh tiến bộ vào sản xuất, hệ thống trung tâm ứng dụng tiến bộ KH&amp;CN đã được hình thành ở 63 tỉnh, thành phố trực thuộc Trung ương. Các trung tâm ứng dụng tiến bộ KH&amp;CN có nhiệm vụ giới thiệu </w:t>
      </w:r>
      <w:r>
        <w:t>và</w:t>
      </w:r>
      <w:r w:rsidRPr="004101E2">
        <w:t xml:space="preserve"> triển khai áp dụng các thành tựu, tiến bộ KH&amp;CN, kết quả thực hiện nhiệm vụ KH&amp;CN vào thực tế địa phương. </w:t>
      </w:r>
    </w:p>
    <w:p w:rsidR="00A50899" w:rsidRPr="004D07A8" w:rsidRDefault="00A50899" w:rsidP="00A50899">
      <w:pPr>
        <w:pStyle w:val="bodyA0"/>
        <w:spacing w:line="288" w:lineRule="auto"/>
        <w:rPr>
          <w:spacing w:val="-4"/>
        </w:rPr>
      </w:pPr>
      <w:r w:rsidRPr="004D07A8">
        <w:rPr>
          <w:spacing w:val="-4"/>
        </w:rPr>
        <w:t>Cả nước hiện có trên 40 cơ sở ươm tạo công nghệ và doanh nghiệp KH&amp;CN, tập trung chủ yếu ở Hà Nội và T</w:t>
      </w:r>
      <w:r>
        <w:rPr>
          <w:spacing w:val="-4"/>
        </w:rPr>
        <w:t>P</w:t>
      </w:r>
      <w:r w:rsidRPr="004D07A8">
        <w:rPr>
          <w:spacing w:val="-4"/>
        </w:rPr>
        <w:t>. Hồ Chí Minh. Các cơ sở này nói chung đều mới thành lập, thường gắn với các cơ sở đào tạo đại học hoặc các khu công nghệ, công nghệ cao nhằm mục đích hỗ trợ thương mại hóa các kết quả hoạt động NC&amp;PT, hỗ trợ doanh nghiệp khởi nghiệp.</w:t>
      </w:r>
    </w:p>
    <w:p w:rsidR="00A50899" w:rsidRPr="006A00CC" w:rsidRDefault="00A50899" w:rsidP="00A50899">
      <w:pPr>
        <w:pStyle w:val="11khcnvn"/>
      </w:pPr>
      <w:bookmarkStart w:id="20" w:name="_Toc451518363"/>
      <w:bookmarkEnd w:id="2"/>
      <w:r>
        <w:rPr>
          <w:rFonts w:asciiTheme="minorHAnsi" w:hAnsiTheme="minorHAnsi"/>
          <w:lang w:val="en-US"/>
        </w:rPr>
        <w:lastRenderedPageBreak/>
        <w:t>1</w:t>
      </w:r>
      <w:r w:rsidRPr="006A00CC">
        <w:t>.2. N</w:t>
      </w:r>
      <w:r>
        <w:t>guồn nhân lực khoa học và công nghệ</w:t>
      </w:r>
      <w:bookmarkEnd w:id="20"/>
    </w:p>
    <w:p w:rsidR="00A50899" w:rsidRPr="00454A79" w:rsidRDefault="00A50899" w:rsidP="00A50899">
      <w:pPr>
        <w:pStyle w:val="bodyA0"/>
        <w:rPr>
          <w:lang w:val="vi-VN"/>
        </w:rPr>
      </w:pPr>
      <w:bookmarkStart w:id="21" w:name="_Toc415057122"/>
      <w:bookmarkStart w:id="22" w:name="_Toc385344092"/>
      <w:r w:rsidRPr="00454A79">
        <w:rPr>
          <w:lang w:val="vi-VN"/>
        </w:rPr>
        <w:t xml:space="preserve">Theo UNESCO và OECD, "Nguồn nhân lực KH&amp;CN” (Human resources for science and technology) của một quốc gia/vùng lãnh thổ bao gồm toàn bộ những người có trình độ từ cao đẳng/đại học trở lên (tương ứng với bậc đào tạo thứ III theo phân loại quốc tế về giáo dục và đào tạo) trong một lĩnh vực KH&amp;CN và những người tuy chưa qua đào tạo chính quy như trên, nhưng làm một nghề thuộc chuyên ngành KH&amp;CN đòi hỏi trình độ tương đương cao đẳng, đại học trở lên. Như vậy, "nguồn nhân lực KH&amp;CN" chỉ xem xét về trình độ mà không xem xét đến nghề nghiệp và hoạt động (có hoạt động trong lĩnh vực KH&amp;CN hay không). </w:t>
      </w:r>
    </w:p>
    <w:p w:rsidR="00A50899" w:rsidRPr="00454A79" w:rsidRDefault="00A50899" w:rsidP="00A50899">
      <w:pPr>
        <w:pStyle w:val="bodyA0"/>
        <w:spacing w:after="200"/>
        <w:rPr>
          <w:lang w:val="vi-VN"/>
        </w:rPr>
      </w:pPr>
      <w:r w:rsidRPr="00454A79">
        <w:rPr>
          <w:lang w:val="vi-VN"/>
        </w:rPr>
        <w:t>Để tính toán và phân tích nguồn nhân lực KH&amp;CN, UNESCO phân nguồn nhân lực KH&amp;CN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4"/>
        <w:gridCol w:w="1958"/>
        <w:gridCol w:w="1813"/>
        <w:gridCol w:w="1865"/>
      </w:tblGrid>
      <w:tr w:rsidR="00A50899" w:rsidRPr="00454A79" w:rsidTr="00A324B6">
        <w:trPr>
          <w:trHeight w:val="432"/>
          <w:jc w:val="center"/>
        </w:trPr>
        <w:tc>
          <w:tcPr>
            <w:tcW w:w="7210" w:type="dxa"/>
            <w:gridSpan w:val="4"/>
            <w:tcBorders>
              <w:top w:val="single" w:sz="4" w:space="0" w:color="000000"/>
              <w:left w:val="single" w:sz="4" w:space="0" w:color="000000"/>
              <w:bottom w:val="single" w:sz="4" w:space="0" w:color="000000"/>
              <w:right w:val="single" w:sz="4" w:space="0" w:color="000000"/>
            </w:tcBorders>
            <w:shd w:val="clear" w:color="auto" w:fill="99CCFF"/>
          </w:tcPr>
          <w:p w:rsidR="00A50899" w:rsidRPr="00454A79" w:rsidRDefault="00A50899" w:rsidP="00A324B6">
            <w:pPr>
              <w:pStyle w:val="Bang2"/>
              <w:rPr>
                <w:rFonts w:eastAsia="Calibri"/>
                <w:lang w:val="vi-VN"/>
              </w:rPr>
            </w:pPr>
            <w:r w:rsidRPr="00454A79">
              <w:rPr>
                <w:lang w:val="vi-VN"/>
              </w:rPr>
              <w:t>Nguồn nhân lực KH&amp;CN = Tổng nhân lực có trình độ cao đẳng/đại học trở lên</w:t>
            </w:r>
          </w:p>
        </w:tc>
      </w:tr>
      <w:tr w:rsidR="00A50899" w:rsidTr="00A324B6">
        <w:trPr>
          <w:trHeight w:val="432"/>
          <w:jc w:val="center"/>
        </w:trPr>
        <w:tc>
          <w:tcPr>
            <w:tcW w:w="1574" w:type="dxa"/>
            <w:tcBorders>
              <w:top w:val="single" w:sz="4" w:space="0" w:color="000000"/>
              <w:left w:val="nil"/>
              <w:bottom w:val="nil"/>
              <w:right w:val="single" w:sz="4" w:space="0" w:color="000000"/>
            </w:tcBorders>
            <w:shd w:val="clear" w:color="auto" w:fill="auto"/>
          </w:tcPr>
          <w:p w:rsidR="00A50899" w:rsidRPr="007E1313" w:rsidRDefault="00A50899" w:rsidP="00A324B6">
            <w:pPr>
              <w:pStyle w:val="Bang2"/>
              <w:rPr>
                <w:rFonts w:eastAsia="Calibri"/>
              </w:rPr>
            </w:pPr>
            <w:r>
              <w:t>Trong đó có:</w:t>
            </w:r>
          </w:p>
        </w:tc>
        <w:tc>
          <w:tcPr>
            <w:tcW w:w="5636" w:type="dxa"/>
            <w:gridSpan w:val="3"/>
            <w:tcBorders>
              <w:top w:val="single" w:sz="4" w:space="0" w:color="000000"/>
              <w:left w:val="single" w:sz="4" w:space="0" w:color="000000"/>
              <w:bottom w:val="single" w:sz="4" w:space="0" w:color="000000"/>
              <w:right w:val="single" w:sz="4" w:space="0" w:color="000000"/>
            </w:tcBorders>
            <w:shd w:val="clear" w:color="auto" w:fill="FFFF00"/>
          </w:tcPr>
          <w:p w:rsidR="00A50899" w:rsidRPr="007E1313" w:rsidRDefault="00A50899" w:rsidP="00A324B6">
            <w:pPr>
              <w:pStyle w:val="Bang2"/>
              <w:rPr>
                <w:rFonts w:eastAsia="Calibri"/>
              </w:rPr>
            </w:pPr>
            <w:r>
              <w:t xml:space="preserve">Nhân lực có trình độ cao đẳng/đại học trở lên </w:t>
            </w:r>
            <w:r w:rsidRPr="007E1313">
              <w:rPr>
                <w:lang w:val="vi-VN"/>
              </w:rPr>
              <w:t>đang làm việc</w:t>
            </w:r>
          </w:p>
        </w:tc>
      </w:tr>
      <w:tr w:rsidR="00A50899" w:rsidTr="00A324B6">
        <w:trPr>
          <w:trHeight w:val="432"/>
          <w:jc w:val="center"/>
        </w:trPr>
        <w:tc>
          <w:tcPr>
            <w:tcW w:w="1574" w:type="dxa"/>
            <w:tcBorders>
              <w:top w:val="nil"/>
              <w:left w:val="nil"/>
              <w:bottom w:val="nil"/>
              <w:right w:val="nil"/>
            </w:tcBorders>
            <w:shd w:val="clear" w:color="auto" w:fill="auto"/>
          </w:tcPr>
          <w:p w:rsidR="00A50899" w:rsidRPr="007E1313" w:rsidRDefault="00A50899" w:rsidP="00A324B6">
            <w:pPr>
              <w:pStyle w:val="Bang2"/>
              <w:rPr>
                <w:rFonts w:eastAsia="Calibri"/>
              </w:rPr>
            </w:pPr>
          </w:p>
        </w:tc>
        <w:tc>
          <w:tcPr>
            <w:tcW w:w="1958" w:type="dxa"/>
            <w:tcBorders>
              <w:top w:val="single" w:sz="4" w:space="0" w:color="000000"/>
              <w:left w:val="nil"/>
              <w:bottom w:val="nil"/>
              <w:right w:val="single" w:sz="4" w:space="0" w:color="000000"/>
            </w:tcBorders>
            <w:shd w:val="clear" w:color="auto" w:fill="auto"/>
          </w:tcPr>
          <w:p w:rsidR="00A50899" w:rsidRPr="007E1313" w:rsidRDefault="00A50899" w:rsidP="00A324B6">
            <w:pPr>
              <w:pStyle w:val="Bang2"/>
              <w:rPr>
                <w:rFonts w:eastAsia="Calibri"/>
              </w:rPr>
            </w:pPr>
            <w:r>
              <w:t>Trong đó có:</w:t>
            </w:r>
          </w:p>
        </w:tc>
        <w:tc>
          <w:tcPr>
            <w:tcW w:w="3678" w:type="dxa"/>
            <w:gridSpan w:val="2"/>
            <w:tcBorders>
              <w:top w:val="single" w:sz="4" w:space="0" w:color="000000"/>
              <w:left w:val="single" w:sz="4" w:space="0" w:color="000000"/>
              <w:bottom w:val="single" w:sz="4" w:space="0" w:color="000000"/>
              <w:right w:val="single" w:sz="4" w:space="0" w:color="000000"/>
            </w:tcBorders>
            <w:shd w:val="clear" w:color="auto" w:fill="00FF00"/>
          </w:tcPr>
          <w:p w:rsidR="00A50899" w:rsidRPr="007E1313" w:rsidRDefault="00A50899" w:rsidP="00A324B6">
            <w:pPr>
              <w:pStyle w:val="Bang2"/>
              <w:rPr>
                <w:rFonts w:eastAsia="Calibri"/>
              </w:rPr>
            </w:pPr>
            <w:r>
              <w:t>Nhân lực KH&amp;CN</w:t>
            </w:r>
          </w:p>
        </w:tc>
      </w:tr>
      <w:tr w:rsidR="00A50899" w:rsidTr="00A324B6">
        <w:trPr>
          <w:trHeight w:val="446"/>
          <w:jc w:val="center"/>
        </w:trPr>
        <w:tc>
          <w:tcPr>
            <w:tcW w:w="1574" w:type="dxa"/>
            <w:tcBorders>
              <w:top w:val="nil"/>
              <w:left w:val="nil"/>
              <w:bottom w:val="nil"/>
              <w:right w:val="nil"/>
            </w:tcBorders>
            <w:shd w:val="clear" w:color="auto" w:fill="auto"/>
          </w:tcPr>
          <w:p w:rsidR="00A50899" w:rsidRPr="007E1313" w:rsidRDefault="00A50899" w:rsidP="00A324B6">
            <w:pPr>
              <w:pStyle w:val="Bang2"/>
              <w:rPr>
                <w:rFonts w:eastAsia="Calibri"/>
              </w:rPr>
            </w:pPr>
          </w:p>
        </w:tc>
        <w:tc>
          <w:tcPr>
            <w:tcW w:w="1958" w:type="dxa"/>
            <w:tcBorders>
              <w:top w:val="nil"/>
              <w:left w:val="nil"/>
              <w:bottom w:val="nil"/>
              <w:right w:val="nil"/>
            </w:tcBorders>
            <w:shd w:val="clear" w:color="auto" w:fill="auto"/>
          </w:tcPr>
          <w:p w:rsidR="00A50899" w:rsidRPr="007E1313" w:rsidRDefault="00A50899" w:rsidP="00A324B6">
            <w:pPr>
              <w:pStyle w:val="Bang2"/>
              <w:rPr>
                <w:rFonts w:eastAsia="Calibri"/>
              </w:rPr>
            </w:pPr>
          </w:p>
        </w:tc>
        <w:tc>
          <w:tcPr>
            <w:tcW w:w="1813" w:type="dxa"/>
            <w:tcBorders>
              <w:top w:val="single" w:sz="4" w:space="0" w:color="000000"/>
              <w:left w:val="nil"/>
              <w:bottom w:val="nil"/>
              <w:right w:val="single" w:sz="4" w:space="0" w:color="000000"/>
            </w:tcBorders>
            <w:shd w:val="clear" w:color="auto" w:fill="auto"/>
          </w:tcPr>
          <w:p w:rsidR="00A50899" w:rsidRPr="007E1313" w:rsidRDefault="00A50899" w:rsidP="00A324B6">
            <w:pPr>
              <w:pStyle w:val="Bang2"/>
              <w:rPr>
                <w:rFonts w:eastAsia="Calibri"/>
              </w:rPr>
            </w:pPr>
            <w:r>
              <w:t>Trong đó có:</w:t>
            </w:r>
          </w:p>
        </w:tc>
        <w:tc>
          <w:tcPr>
            <w:tcW w:w="1865" w:type="dxa"/>
            <w:tcBorders>
              <w:top w:val="single" w:sz="4" w:space="0" w:color="000000"/>
              <w:left w:val="single" w:sz="4" w:space="0" w:color="000000"/>
              <w:bottom w:val="single" w:sz="4" w:space="0" w:color="000000"/>
              <w:right w:val="single" w:sz="4" w:space="0" w:color="000000"/>
            </w:tcBorders>
            <w:shd w:val="clear" w:color="auto" w:fill="FF99FF"/>
          </w:tcPr>
          <w:p w:rsidR="00A50899" w:rsidRPr="007E1313" w:rsidRDefault="00A50899" w:rsidP="00A324B6">
            <w:pPr>
              <w:pStyle w:val="Bang2"/>
              <w:rPr>
                <w:rFonts w:eastAsia="Calibri"/>
              </w:rPr>
            </w:pPr>
            <w:r>
              <w:t>Nhân lực NC&amp;PT</w:t>
            </w:r>
          </w:p>
        </w:tc>
      </w:tr>
    </w:tbl>
    <w:p w:rsidR="00A50899" w:rsidRDefault="00A50899" w:rsidP="00A50899">
      <w:pPr>
        <w:pStyle w:val="bodyA0"/>
        <w:rPr>
          <w:noProof/>
          <w:lang w:val="vi-VN"/>
        </w:rPr>
      </w:pPr>
      <w:bookmarkStart w:id="23" w:name="_Toc385344093"/>
      <w:bookmarkEnd w:id="21"/>
      <w:bookmarkEnd w:id="22"/>
      <w:r>
        <w:rPr>
          <w:noProof/>
          <w:lang w:val="vi-VN"/>
        </w:rPr>
        <w:t xml:space="preserve">Nhân lực KH&amp;CN </w:t>
      </w:r>
      <w:r>
        <w:rPr>
          <w:noProof/>
        </w:rPr>
        <w:t xml:space="preserve">là một trong những chỉ tiêu quan trọng so sánh nguồn lực KH&amp;CN của các quốc gia với nhau, nhất là chỉ tiêu về nhân lực NC&amp;PT. </w:t>
      </w:r>
    </w:p>
    <w:p w:rsidR="00A50899" w:rsidRPr="00454A79" w:rsidRDefault="00A50899" w:rsidP="00A50899">
      <w:pPr>
        <w:pStyle w:val="bodyA0"/>
        <w:rPr>
          <w:noProof/>
          <w:lang w:val="vi-VN"/>
        </w:rPr>
      </w:pPr>
      <w:r w:rsidRPr="00454A79">
        <w:rPr>
          <w:noProof/>
          <w:lang w:val="vi-VN"/>
        </w:rPr>
        <w:t>Nhân lực NC&amp;PT là gồm những người tham gia trực tiếp vào hoạt động NC&amp;PT</w:t>
      </w:r>
      <w:r w:rsidRPr="00186810">
        <w:rPr>
          <w:noProof/>
          <w:vertAlign w:val="superscript"/>
        </w:rPr>
        <w:t>(</w:t>
      </w:r>
      <w:r w:rsidRPr="00186810">
        <w:rPr>
          <w:rStyle w:val="FootnoteReference"/>
          <w:noProof/>
          <w:lang w:val="vi-VN"/>
        </w:rPr>
        <w:footnoteReference w:id="3"/>
      </w:r>
      <w:r w:rsidRPr="00186810">
        <w:rPr>
          <w:noProof/>
          <w:vertAlign w:val="superscript"/>
        </w:rPr>
        <w:t>)</w:t>
      </w:r>
      <w:r>
        <w:rPr>
          <w:noProof/>
          <w:lang w:val="vi-VN"/>
        </w:rPr>
        <w:t>.</w:t>
      </w:r>
      <w:r w:rsidRPr="00454A79">
        <w:rPr>
          <w:noProof/>
          <w:lang w:val="vi-VN"/>
        </w:rPr>
        <w:t xml:space="preserve"> N</w:t>
      </w:r>
      <w:r>
        <w:rPr>
          <w:noProof/>
          <w:lang w:val="vi-VN"/>
        </w:rPr>
        <w:t>hân lực NC&amp;PT</w:t>
      </w:r>
      <w:r w:rsidRPr="00454A79">
        <w:rPr>
          <w:noProof/>
          <w:lang w:val="vi-VN"/>
        </w:rPr>
        <w:t xml:space="preserve"> bao gồm các cán bộ nghiên cứu, cán bộ kỹ thuật</w:t>
      </w:r>
      <w:r>
        <w:rPr>
          <w:noProof/>
          <w:lang w:val="vi-VN"/>
        </w:rPr>
        <w:t>,</w:t>
      </w:r>
      <w:r w:rsidRPr="00454A79">
        <w:rPr>
          <w:noProof/>
          <w:lang w:val="vi-VN"/>
        </w:rPr>
        <w:t xml:space="preserve"> nhân viên hỗ trợ</w:t>
      </w:r>
      <w:r>
        <w:rPr>
          <w:noProof/>
          <w:lang w:val="vi-VN"/>
        </w:rPr>
        <w:t xml:space="preserve"> và nhân lực khác</w:t>
      </w:r>
      <w:r w:rsidRPr="00454A79">
        <w:rPr>
          <w:noProof/>
          <w:lang w:val="vi-VN"/>
        </w:rPr>
        <w:t>.</w:t>
      </w:r>
    </w:p>
    <w:p w:rsidR="00A50899" w:rsidRPr="00454A79" w:rsidRDefault="00A50899" w:rsidP="00A50899">
      <w:pPr>
        <w:pStyle w:val="bodyA0"/>
        <w:rPr>
          <w:noProof/>
          <w:lang w:val="vi-VN"/>
        </w:rPr>
      </w:pPr>
      <w:r w:rsidRPr="00454A79">
        <w:rPr>
          <w:noProof/>
          <w:lang w:val="vi-VN"/>
        </w:rPr>
        <w:t>- Cán bộ nghiên cứu (CBNC) (nhà nghiên cứu/nhà khoa học/kỹ sư nghiên cứu)</w:t>
      </w:r>
      <w:r>
        <w:rPr>
          <w:noProof/>
          <w:lang w:val="vi-VN"/>
        </w:rPr>
        <w:t>:</w:t>
      </w:r>
      <w:r w:rsidRPr="00454A79">
        <w:rPr>
          <w:noProof/>
          <w:lang w:val="vi-VN"/>
        </w:rPr>
        <w:t xml:space="preserve"> là những cán bộ chuyên nghiệp có trình độ cao đẳng/đại học, thạc sĩ và tiến sĩ hoặc chưa có văn bằng chính thức song làm các công việc tương đương như nhà nghiên cứu/nhà khoa học tham gia vào quá trình tạo ra tri thức, sản phẩm và quy trình mới, tạo ra phương pháp và hệ thống mới;</w:t>
      </w:r>
    </w:p>
    <w:p w:rsidR="00A50899" w:rsidRPr="00454A79" w:rsidRDefault="00A50899" w:rsidP="00A50899">
      <w:pPr>
        <w:pStyle w:val="bodyA0"/>
        <w:rPr>
          <w:noProof/>
          <w:lang w:val="vi-VN"/>
        </w:rPr>
      </w:pPr>
      <w:r w:rsidRPr="00454A79">
        <w:rPr>
          <w:noProof/>
          <w:lang w:val="vi-VN"/>
        </w:rPr>
        <w:t xml:space="preserve">- </w:t>
      </w:r>
      <w:r w:rsidRPr="001B1F64">
        <w:rPr>
          <w:noProof/>
          <w:lang w:val="vi-VN"/>
        </w:rPr>
        <w:t>Cán bộ</w:t>
      </w:r>
      <w:r w:rsidRPr="00454A79">
        <w:rPr>
          <w:noProof/>
          <w:lang w:val="vi-VN"/>
        </w:rPr>
        <w:t xml:space="preserve"> kỹ thuật</w:t>
      </w:r>
      <w:r>
        <w:rPr>
          <w:noProof/>
          <w:lang w:val="vi-VN"/>
        </w:rPr>
        <w:t>:</w:t>
      </w:r>
      <w:r w:rsidRPr="00454A79">
        <w:rPr>
          <w:noProof/>
          <w:lang w:val="vi-VN"/>
        </w:rPr>
        <w:t xml:space="preserve"> bao gồm những người thực hiện các công việc đòi hỏi phải có kinh nghiệm và hiểu biết kỹ thuật trong những lĩnh vực KH&amp;CN</w:t>
      </w:r>
      <w:r>
        <w:rPr>
          <w:noProof/>
          <w:lang w:val="vi-VN"/>
        </w:rPr>
        <w:t>;</w:t>
      </w:r>
      <w:r w:rsidRPr="00454A79">
        <w:rPr>
          <w:noProof/>
          <w:lang w:val="vi-VN"/>
        </w:rPr>
        <w:t xml:space="preserve"> tham gia vào NC&amp;PT bằng việc thực hiện những nhiệm vụ KH&amp;CN có áp dụng những khái niệm và phương pháp vận hành dưới sự giám sát của các </w:t>
      </w:r>
      <w:r>
        <w:rPr>
          <w:noProof/>
          <w:lang w:val="vi-VN"/>
        </w:rPr>
        <w:t xml:space="preserve">cán bộ </w:t>
      </w:r>
      <w:r w:rsidRPr="00454A79">
        <w:rPr>
          <w:noProof/>
          <w:lang w:val="vi-VN"/>
        </w:rPr>
        <w:t>nghiên cứu;</w:t>
      </w:r>
    </w:p>
    <w:p w:rsidR="00A50899" w:rsidRDefault="00A50899" w:rsidP="00A50899">
      <w:pPr>
        <w:pStyle w:val="bodyA0"/>
        <w:rPr>
          <w:noProof/>
          <w:highlight w:val="cyan"/>
          <w:lang w:val="vi-VN"/>
        </w:rPr>
      </w:pPr>
      <w:r w:rsidRPr="00454A79">
        <w:rPr>
          <w:noProof/>
          <w:lang w:val="vi-VN"/>
        </w:rPr>
        <w:lastRenderedPageBreak/>
        <w:t xml:space="preserve">- Nhân viên </w:t>
      </w:r>
      <w:r w:rsidRPr="001B1F64">
        <w:rPr>
          <w:noProof/>
          <w:lang w:val="vi-VN"/>
        </w:rPr>
        <w:t>hỗ</w:t>
      </w:r>
      <w:r w:rsidRPr="00454A79">
        <w:rPr>
          <w:noProof/>
          <w:lang w:val="vi-VN"/>
        </w:rPr>
        <w:t xml:space="preserve"> trợ</w:t>
      </w:r>
      <w:r>
        <w:rPr>
          <w:noProof/>
          <w:lang w:val="vi-VN"/>
        </w:rPr>
        <w:t xml:space="preserve">: </w:t>
      </w:r>
      <w:r w:rsidRPr="00454A79">
        <w:rPr>
          <w:noProof/>
          <w:lang w:val="vi-VN"/>
        </w:rPr>
        <w:t xml:space="preserve">bao gồm những người có hoặc không có kỹ năng, nhân viên hành chính văn phòng tham gia vào các </w:t>
      </w:r>
      <w:r>
        <w:rPr>
          <w:noProof/>
          <w:lang w:val="vi-VN"/>
        </w:rPr>
        <w:t>nhiệm vụ</w:t>
      </w:r>
      <w:r w:rsidRPr="00454A79">
        <w:rPr>
          <w:noProof/>
          <w:lang w:val="vi-VN"/>
        </w:rPr>
        <w:t xml:space="preserve"> NC&amp;PT. Trong nhóm này bao gồm cả những người làm việc liên quan đến nhân sự, tài chính và hành chính trực tiếp phục vụ công việc NC&amp;PT</w:t>
      </w:r>
      <w:r>
        <w:rPr>
          <w:noProof/>
          <w:lang w:val="vi-VN"/>
        </w:rPr>
        <w:t>;</w:t>
      </w:r>
    </w:p>
    <w:p w:rsidR="00A50899" w:rsidRDefault="00A50899" w:rsidP="00A50899">
      <w:pPr>
        <w:pStyle w:val="bodyA0"/>
        <w:spacing w:before="120"/>
        <w:rPr>
          <w:noProof/>
          <w:szCs w:val="28"/>
          <w:highlight w:val="cyan"/>
          <w:lang w:val="vi-VN"/>
        </w:rPr>
      </w:pPr>
      <w:r>
        <w:rPr>
          <w:b/>
          <w:lang w:val="vi-VN"/>
        </w:rPr>
        <w:t xml:space="preserve">- </w:t>
      </w:r>
      <w:r w:rsidRPr="00454A79">
        <w:rPr>
          <w:lang w:val="vi-VN"/>
        </w:rPr>
        <w:t>Nhân lực khác: là những người trực tiếp tham gia hoạt động NC&amp;PT không thuộc các nhóm trên.</w:t>
      </w:r>
    </w:p>
    <w:p w:rsidR="00A50899" w:rsidRPr="00454A79" w:rsidRDefault="00A50899" w:rsidP="00A50899">
      <w:pPr>
        <w:pStyle w:val="bodyA0"/>
        <w:spacing w:before="120"/>
        <w:rPr>
          <w:noProof/>
          <w:lang w:val="vi-VN"/>
        </w:rPr>
      </w:pPr>
      <w:r w:rsidRPr="00454A79">
        <w:rPr>
          <w:noProof/>
          <w:lang w:val="vi-VN"/>
        </w:rPr>
        <w:t>Trên thế giới, khi so sánh và phân tích nguồn nhân lực KH&amp;CN, các quốc gia và các tổ chức quốc tế, chủ yếu sử dụng số liệu về nhân lực NC&amp;PT, trong đó đặc biệt tập trung phân tích và so sánh dữ liệu về cán bộ nghiên cứu.</w:t>
      </w:r>
    </w:p>
    <w:p w:rsidR="00320ECA" w:rsidRDefault="00A50899" w:rsidP="00A50899">
      <w:pPr>
        <w:pStyle w:val="bodyA0"/>
        <w:spacing w:before="120"/>
      </w:pPr>
      <w:r w:rsidRPr="00454A79">
        <w:rPr>
          <w:lang w:val="vi-VN"/>
        </w:rPr>
        <w:t>Trong thực tế</w:t>
      </w:r>
      <w:r>
        <w:rPr>
          <w:lang w:val="vi-VN"/>
        </w:rPr>
        <w:t xml:space="preserve">, </w:t>
      </w:r>
      <w:r w:rsidRPr="00454A79">
        <w:rPr>
          <w:lang w:val="vi-VN"/>
        </w:rPr>
        <w:t xml:space="preserve">trong </w:t>
      </w:r>
      <w:r>
        <w:rPr>
          <w:lang w:val="vi-VN"/>
        </w:rPr>
        <w:t xml:space="preserve">Điều tra NC&amp;PT của Bộ Khoa học và </w:t>
      </w:r>
    </w:p>
    <w:p w:rsidR="00A50899" w:rsidRPr="00454A79" w:rsidRDefault="00A50899" w:rsidP="00A50899">
      <w:pPr>
        <w:pStyle w:val="bodyA0"/>
        <w:spacing w:before="120"/>
        <w:rPr>
          <w:lang w:val="vi-VN"/>
        </w:rPr>
      </w:pPr>
      <w:r>
        <w:rPr>
          <w:lang w:val="vi-VN"/>
        </w:rPr>
        <w:t>Công nghệ</w:t>
      </w:r>
      <w:r w:rsidRPr="00454A79">
        <w:rPr>
          <w:lang w:val="vi-VN"/>
        </w:rPr>
        <w:t>, nhân lực NC&amp;PT được thống kê theo quy định như sau:</w:t>
      </w:r>
    </w:p>
    <w:p w:rsidR="00A50899" w:rsidRPr="00454A79" w:rsidRDefault="00A50899" w:rsidP="00A50899">
      <w:pPr>
        <w:pStyle w:val="bodyA0"/>
        <w:spacing w:before="120"/>
        <w:rPr>
          <w:lang w:val="vi-VN"/>
        </w:rPr>
      </w:pPr>
      <w:r w:rsidRPr="00454A79">
        <w:rPr>
          <w:lang w:val="vi-VN"/>
        </w:rPr>
        <w:t>- Đối với các tổ chức NC&amp;PT chuyên nghiệp (các viện, các trung tâm NC&amp;PT), tất cả nhân viên của tổ chức (trừ những người chỉ hoạt động trong các bộ phận sản xuất, kinh doanh nếu có và không tham gia vào hoạt động NC&amp;PT của tổ chức);</w:t>
      </w:r>
    </w:p>
    <w:p w:rsidR="00A50899" w:rsidRPr="00454A79" w:rsidRDefault="00A50899" w:rsidP="00A50899">
      <w:pPr>
        <w:pStyle w:val="bodyA0"/>
        <w:spacing w:after="0"/>
        <w:rPr>
          <w:lang w:val="vi-VN"/>
        </w:rPr>
      </w:pPr>
      <w:r w:rsidRPr="00454A79">
        <w:rPr>
          <w:lang w:val="vi-VN"/>
        </w:rPr>
        <w:t>- Đối với các trường đại học, học viện, trường cao đẳng, nhân lực NC&amp;PT bao gồm cán bộ giảng dạy, cán bộ có trình độ từ cao đẳng, đại học trở lên làm trong các đơn vị NC&amp;PT của trường nhưng không bao gồm những người chỉ làm công tác hỗ trợ giảng dạy (như giáo vụ...);</w:t>
      </w:r>
    </w:p>
    <w:p w:rsidR="00A50899" w:rsidRPr="00454A79" w:rsidRDefault="00A50899" w:rsidP="00A50899">
      <w:pPr>
        <w:pStyle w:val="bodyA0"/>
        <w:spacing w:after="0"/>
        <w:rPr>
          <w:lang w:val="vi-VN"/>
        </w:rPr>
      </w:pPr>
      <w:r w:rsidRPr="00454A79">
        <w:rPr>
          <w:lang w:val="vi-VN"/>
        </w:rPr>
        <w:t>- Đối với các cơ quan hành chính, sự nghiệp có hoạt động NC&amp;PT (có triển khai đề tài, dự án NC&amp;PT), nhân lực NC&amp;PT chỉ tính những người trực tiếp tham gia thực hiện đề tài, dự án;</w:t>
      </w:r>
    </w:p>
    <w:p w:rsidR="00A50899" w:rsidRPr="00454A79" w:rsidRDefault="00A50899" w:rsidP="00A50899">
      <w:pPr>
        <w:pStyle w:val="bodyA0"/>
        <w:spacing w:after="0"/>
        <w:rPr>
          <w:b/>
          <w:spacing w:val="-2"/>
          <w:lang w:val="vi-VN"/>
        </w:rPr>
      </w:pPr>
      <w:r w:rsidRPr="00454A79">
        <w:rPr>
          <w:spacing w:val="-2"/>
          <w:lang w:val="vi-VN"/>
        </w:rPr>
        <w:t>- Đối với doanh nghiệp, nhân lực NC&amp;PT chỉ bao gồm những người hoạt động trong các đơn vị, bộ phận làm NC&amp;PT, phát triển công nghệ, sản phẩm mới (không phải tất cả các cán bộ kỹ thuật của doanh nghiệp).</w:t>
      </w:r>
    </w:p>
    <w:p w:rsidR="00A50899" w:rsidRPr="00454A79" w:rsidRDefault="00A50899" w:rsidP="00A50899">
      <w:pPr>
        <w:pStyle w:val="111khcnvn"/>
        <w:rPr>
          <w:lang w:val="vi-VN"/>
        </w:rPr>
      </w:pPr>
      <w:bookmarkStart w:id="24" w:name="_Toc451518364"/>
      <w:r>
        <w:rPr>
          <w:rFonts w:asciiTheme="minorHAnsi" w:hAnsiTheme="minorHAnsi"/>
        </w:rPr>
        <w:t>1</w:t>
      </w:r>
      <w:r w:rsidRPr="00454A79">
        <w:rPr>
          <w:lang w:val="vi-VN"/>
        </w:rPr>
        <w:t>.2.1. Nhân lực nghiên cứu và phát triển trong nước (tính theo đầu người)</w:t>
      </w:r>
      <w:bookmarkEnd w:id="24"/>
    </w:p>
    <w:p w:rsidR="00A50899" w:rsidRDefault="00A50899" w:rsidP="00A50899">
      <w:pPr>
        <w:pStyle w:val="bodyA0"/>
      </w:pPr>
      <w:r>
        <w:t xml:space="preserve">Theo số liệu của cuộc Điều tra NC&amp;PT năm 2014 và Điều tra doanh nghiệp 2014 cho thấy, năm 2013, cả nước có 164.744 người tham gia hoạt động NC&amp;PT. Cần lưu ý rằng đây là số lượng tính theo đầu người mà </w:t>
      </w:r>
      <w:r>
        <w:rPr>
          <w:lang w:val="vi-VN"/>
        </w:rPr>
        <w:t>chưa phải là con số</w:t>
      </w:r>
      <w:r>
        <w:t xml:space="preserve"> quy đổi sang </w:t>
      </w:r>
      <w:r>
        <w:rPr>
          <w:lang w:val="vi-VN"/>
        </w:rPr>
        <w:t xml:space="preserve">tương đương </w:t>
      </w:r>
      <w:r>
        <w:t>toàn thời gian (FTE). Số lượng người làm NC&amp;PT tuy đông (nhất là trong khu vực đại học), nhưng nếu quy đổi sang số người tương đương toàn thời gian thì sẽ giảm đáng kể.</w:t>
      </w:r>
    </w:p>
    <w:p w:rsidR="00A50899" w:rsidRDefault="00A50899" w:rsidP="00A50899">
      <w:pPr>
        <w:pStyle w:val="khcnvnTenBang"/>
        <w:keepNext w:val="0"/>
        <w:spacing w:before="100"/>
      </w:pPr>
      <w:bookmarkStart w:id="25" w:name="_Toc453342465"/>
      <w:r>
        <w:rPr>
          <w:b/>
          <w:i/>
        </w:rPr>
        <w:t xml:space="preserve">Bảng </w:t>
      </w:r>
      <w:r>
        <w:rPr>
          <w:b/>
          <w:i/>
        </w:rPr>
        <w:t>1</w:t>
      </w:r>
      <w:r>
        <w:rPr>
          <w:b/>
          <w:i/>
        </w:rPr>
        <w:t>.8.</w:t>
      </w:r>
      <w:r>
        <w:t xml:space="preserve"> Nhân lực nghiên cứu và phát triển chia theo loại hình kinh tế và vị trí hoạt động </w:t>
      </w:r>
    </w:p>
    <w:tbl>
      <w:tblPr>
        <w:tblW w:w="5000" w:type="pct"/>
        <w:jc w:val="center"/>
        <w:tblCellMar>
          <w:left w:w="57" w:type="dxa"/>
          <w:right w:w="57" w:type="dxa"/>
        </w:tblCellMar>
        <w:tblLook w:val="04A0" w:firstRow="1" w:lastRow="0" w:firstColumn="1" w:lastColumn="0" w:noHBand="0" w:noVBand="1"/>
      </w:tblPr>
      <w:tblGrid>
        <w:gridCol w:w="2695"/>
        <w:gridCol w:w="1273"/>
        <w:gridCol w:w="885"/>
        <w:gridCol w:w="1416"/>
        <w:gridCol w:w="1178"/>
        <w:gridCol w:w="1030"/>
        <w:gridCol w:w="873"/>
      </w:tblGrid>
      <w:tr w:rsidR="00A50899" w:rsidTr="00A324B6">
        <w:trPr>
          <w:jc w:val="center"/>
        </w:trPr>
        <w:tc>
          <w:tcPr>
            <w:tcW w:w="1441" w:type="pct"/>
            <w:vMerge w:val="restart"/>
            <w:tcBorders>
              <w:top w:val="single" w:sz="4" w:space="0" w:color="auto"/>
              <w:left w:val="single" w:sz="4" w:space="0" w:color="auto"/>
              <w:bottom w:val="single" w:sz="4" w:space="0" w:color="auto"/>
              <w:right w:val="single" w:sz="4" w:space="0" w:color="auto"/>
            </w:tcBorders>
            <w:shd w:val="clear" w:color="auto" w:fill="66CCFF"/>
            <w:vAlign w:val="center"/>
          </w:tcPr>
          <w:bookmarkEnd w:id="25"/>
          <w:p w:rsidR="00A50899" w:rsidRPr="00764272" w:rsidRDefault="00A50899" w:rsidP="00A324B6">
            <w:pPr>
              <w:pStyle w:val="Bang2"/>
              <w:keepNext w:val="0"/>
              <w:spacing w:before="50" w:after="50"/>
              <w:jc w:val="center"/>
              <w:rPr>
                <w:b/>
                <w:sz w:val="18"/>
                <w:szCs w:val="18"/>
              </w:rPr>
            </w:pPr>
            <w:r w:rsidRPr="00764272">
              <w:rPr>
                <w:b/>
                <w:sz w:val="18"/>
                <w:szCs w:val="18"/>
              </w:rPr>
              <w:t>Loại hình kinh tế</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764272" w:rsidRDefault="00A50899" w:rsidP="00A324B6">
            <w:pPr>
              <w:pStyle w:val="Bang2"/>
              <w:keepNext w:val="0"/>
              <w:spacing w:before="50" w:after="50"/>
              <w:jc w:val="center"/>
              <w:rPr>
                <w:b/>
                <w:sz w:val="18"/>
                <w:szCs w:val="18"/>
              </w:rPr>
            </w:pPr>
            <w:r w:rsidRPr="00764272">
              <w:rPr>
                <w:b/>
                <w:sz w:val="18"/>
                <w:szCs w:val="18"/>
              </w:rPr>
              <w:t>Tổng nhân lực nghiên cứu</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66CCFF"/>
          </w:tcPr>
          <w:p w:rsidR="00A50899" w:rsidRPr="00764272" w:rsidRDefault="00A50899" w:rsidP="00A324B6">
            <w:pPr>
              <w:pStyle w:val="Bang2"/>
              <w:keepNext w:val="0"/>
              <w:spacing w:before="50" w:after="50"/>
              <w:jc w:val="center"/>
              <w:rPr>
                <w:rFonts w:cs="Arial"/>
                <w:b/>
                <w:sz w:val="18"/>
                <w:szCs w:val="18"/>
              </w:rPr>
            </w:pPr>
          </w:p>
          <w:p w:rsidR="00A50899" w:rsidRPr="00764272" w:rsidRDefault="00A50899" w:rsidP="00A324B6">
            <w:pPr>
              <w:pStyle w:val="Bang2"/>
              <w:keepNext w:val="0"/>
              <w:spacing w:before="50" w:after="50"/>
              <w:jc w:val="center"/>
              <w:rPr>
                <w:b/>
                <w:sz w:val="18"/>
                <w:szCs w:val="18"/>
              </w:rPr>
            </w:pPr>
            <w:r w:rsidRPr="00764272">
              <w:rPr>
                <w:b/>
                <w:sz w:val="18"/>
                <w:szCs w:val="18"/>
              </w:rPr>
              <w:t>Tỷ lệ</w:t>
            </w:r>
          </w:p>
          <w:p w:rsidR="00A50899" w:rsidRPr="00764272" w:rsidRDefault="00A50899" w:rsidP="00A324B6">
            <w:pPr>
              <w:pStyle w:val="Bang2"/>
              <w:keepNext w:val="0"/>
              <w:spacing w:before="50" w:after="50"/>
              <w:jc w:val="center"/>
              <w:rPr>
                <w:b/>
                <w:sz w:val="18"/>
                <w:szCs w:val="18"/>
              </w:rPr>
            </w:pPr>
            <w:r w:rsidRPr="00764272">
              <w:rPr>
                <w:b/>
                <w:sz w:val="18"/>
                <w:szCs w:val="18"/>
              </w:rPr>
              <w:t>(%)</w:t>
            </w:r>
          </w:p>
        </w:tc>
        <w:tc>
          <w:tcPr>
            <w:tcW w:w="2406" w:type="pct"/>
            <w:gridSpan w:val="4"/>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764272" w:rsidRDefault="00A50899" w:rsidP="00A324B6">
            <w:pPr>
              <w:pStyle w:val="Bang2"/>
              <w:keepNext w:val="0"/>
              <w:spacing w:before="50" w:after="50"/>
              <w:jc w:val="center"/>
              <w:rPr>
                <w:b/>
                <w:sz w:val="18"/>
                <w:szCs w:val="18"/>
              </w:rPr>
            </w:pPr>
            <w:r w:rsidRPr="00764272">
              <w:rPr>
                <w:b/>
                <w:sz w:val="18"/>
                <w:szCs w:val="18"/>
              </w:rPr>
              <w:t>Chia theo vị trí hoạt động</w:t>
            </w:r>
          </w:p>
        </w:tc>
      </w:tr>
      <w:tr w:rsidR="00A50899" w:rsidTr="00A324B6">
        <w:trPr>
          <w:trHeight w:val="614"/>
          <w:jc w:val="center"/>
        </w:trPr>
        <w:tc>
          <w:tcPr>
            <w:tcW w:w="1441" w:type="pct"/>
            <w:vMerge/>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764272" w:rsidRDefault="00A50899" w:rsidP="00A324B6">
            <w:pPr>
              <w:pStyle w:val="Bang2"/>
              <w:keepNext w:val="0"/>
              <w:spacing w:before="50" w:after="50"/>
              <w:rPr>
                <w:rFonts w:cs="Arial"/>
                <w:b/>
                <w:sz w:val="18"/>
                <w:szCs w:val="18"/>
              </w:rPr>
            </w:pPr>
          </w:p>
        </w:tc>
        <w:tc>
          <w:tcPr>
            <w:tcW w:w="681" w:type="pct"/>
            <w:vMerge/>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764272" w:rsidRDefault="00A50899" w:rsidP="00A324B6">
            <w:pPr>
              <w:pStyle w:val="Bang2"/>
              <w:keepNext w:val="0"/>
              <w:spacing w:before="50" w:after="50"/>
              <w:jc w:val="center"/>
              <w:rPr>
                <w:rFonts w:cs="Arial"/>
                <w:b/>
                <w:sz w:val="18"/>
                <w:szCs w:val="18"/>
              </w:rPr>
            </w:pPr>
          </w:p>
        </w:tc>
        <w:tc>
          <w:tcPr>
            <w:tcW w:w="473" w:type="pct"/>
            <w:vMerge/>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764272" w:rsidRDefault="00A50899" w:rsidP="00A324B6">
            <w:pPr>
              <w:pStyle w:val="Bang2"/>
              <w:keepNext w:val="0"/>
              <w:spacing w:before="50" w:after="50"/>
              <w:jc w:val="center"/>
              <w:rPr>
                <w:rFonts w:cs="Arial"/>
                <w:b/>
                <w:sz w:val="18"/>
                <w:szCs w:val="18"/>
              </w:rPr>
            </w:pPr>
          </w:p>
        </w:tc>
        <w:tc>
          <w:tcPr>
            <w:tcW w:w="757" w:type="pct"/>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764272" w:rsidRDefault="00A50899" w:rsidP="00A324B6">
            <w:pPr>
              <w:pStyle w:val="Bang2"/>
              <w:keepNext w:val="0"/>
              <w:spacing w:before="50" w:after="50"/>
              <w:jc w:val="center"/>
              <w:rPr>
                <w:b/>
                <w:sz w:val="18"/>
                <w:szCs w:val="18"/>
              </w:rPr>
            </w:pPr>
            <w:r w:rsidRPr="00764272">
              <w:rPr>
                <w:b/>
                <w:sz w:val="18"/>
                <w:szCs w:val="18"/>
              </w:rPr>
              <w:t>Cán bộ nghiên cứu</w:t>
            </w:r>
          </w:p>
        </w:tc>
        <w:tc>
          <w:tcPr>
            <w:tcW w:w="630" w:type="pct"/>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764272" w:rsidRDefault="00A50899" w:rsidP="00A324B6">
            <w:pPr>
              <w:pStyle w:val="Bang2"/>
              <w:keepNext w:val="0"/>
              <w:spacing w:before="50" w:after="50"/>
              <w:jc w:val="center"/>
              <w:rPr>
                <w:b/>
                <w:sz w:val="18"/>
                <w:szCs w:val="18"/>
              </w:rPr>
            </w:pPr>
            <w:r w:rsidRPr="00764272">
              <w:rPr>
                <w:b/>
                <w:sz w:val="18"/>
                <w:szCs w:val="18"/>
              </w:rPr>
              <w:t>Cán bộ kỹ thuật</w:t>
            </w:r>
          </w:p>
        </w:tc>
        <w:tc>
          <w:tcPr>
            <w:tcW w:w="551" w:type="pct"/>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764272" w:rsidRDefault="00A50899" w:rsidP="00A324B6">
            <w:pPr>
              <w:pStyle w:val="Bang2"/>
              <w:keepNext w:val="0"/>
              <w:spacing w:before="50" w:after="50"/>
              <w:jc w:val="center"/>
              <w:rPr>
                <w:b/>
                <w:sz w:val="18"/>
                <w:szCs w:val="18"/>
              </w:rPr>
            </w:pPr>
            <w:r w:rsidRPr="00764272">
              <w:rPr>
                <w:b/>
                <w:sz w:val="18"/>
                <w:szCs w:val="18"/>
              </w:rPr>
              <w:t>Cán bộ hỗ trợ</w:t>
            </w:r>
          </w:p>
        </w:tc>
        <w:tc>
          <w:tcPr>
            <w:tcW w:w="468" w:type="pct"/>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764272" w:rsidRDefault="00A50899" w:rsidP="00A324B6">
            <w:pPr>
              <w:pStyle w:val="Bang2"/>
              <w:keepNext w:val="0"/>
              <w:spacing w:before="50" w:after="50"/>
              <w:jc w:val="center"/>
              <w:rPr>
                <w:b/>
                <w:sz w:val="18"/>
                <w:szCs w:val="18"/>
              </w:rPr>
            </w:pPr>
            <w:r w:rsidRPr="00764272">
              <w:rPr>
                <w:b/>
                <w:sz w:val="18"/>
                <w:szCs w:val="18"/>
              </w:rPr>
              <w:t>Khác</w:t>
            </w:r>
          </w:p>
        </w:tc>
      </w:tr>
      <w:tr w:rsidR="00A50899" w:rsidRPr="003C482C" w:rsidTr="00A324B6">
        <w:trPr>
          <w:jc w:val="center"/>
        </w:trPr>
        <w:tc>
          <w:tcPr>
            <w:tcW w:w="1441" w:type="pct"/>
            <w:tcBorders>
              <w:top w:val="single" w:sz="4" w:space="0" w:color="auto"/>
              <w:left w:val="single" w:sz="4" w:space="0" w:color="auto"/>
              <w:bottom w:val="single" w:sz="4" w:space="0" w:color="auto"/>
              <w:right w:val="single" w:sz="4" w:space="0" w:color="auto"/>
            </w:tcBorders>
          </w:tcPr>
          <w:p w:rsidR="00A50899" w:rsidRPr="003C482C" w:rsidRDefault="00A50899" w:rsidP="00A324B6">
            <w:pPr>
              <w:pStyle w:val="Bang2"/>
              <w:keepNext w:val="0"/>
              <w:spacing w:before="40" w:after="40"/>
              <w:rPr>
                <w:b/>
                <w:i/>
              </w:rPr>
            </w:pPr>
            <w:r>
              <w:rPr>
                <w:b/>
                <w:i/>
              </w:rPr>
              <w:t>Tổng số n</w:t>
            </w:r>
            <w:r w:rsidRPr="003C482C">
              <w:rPr>
                <w:b/>
                <w:i/>
              </w:rPr>
              <w:t>hân lực NC&amp;PT</w:t>
            </w:r>
            <w:r>
              <w:rPr>
                <w:b/>
                <w:i/>
              </w:rPr>
              <w:t>, c</w:t>
            </w:r>
            <w:r w:rsidRPr="003C482C">
              <w:rPr>
                <w:b/>
                <w:i/>
              </w:rPr>
              <w:t>hia theo:</w:t>
            </w:r>
          </w:p>
        </w:tc>
        <w:tc>
          <w:tcPr>
            <w:tcW w:w="681" w:type="pct"/>
            <w:tcBorders>
              <w:top w:val="single" w:sz="4" w:space="0" w:color="auto"/>
              <w:left w:val="single" w:sz="4" w:space="0" w:color="auto"/>
              <w:bottom w:val="single" w:sz="4" w:space="0" w:color="auto"/>
              <w:right w:val="single" w:sz="4" w:space="0" w:color="auto"/>
            </w:tcBorders>
          </w:tcPr>
          <w:p w:rsidR="00A50899" w:rsidRPr="003C482C" w:rsidRDefault="00A50899" w:rsidP="00A324B6">
            <w:pPr>
              <w:pStyle w:val="Bang2"/>
              <w:keepNext w:val="0"/>
              <w:spacing w:before="40" w:after="40"/>
              <w:jc w:val="right"/>
              <w:rPr>
                <w:b/>
                <w:i/>
              </w:rPr>
            </w:pPr>
            <w:r w:rsidRPr="003C482C">
              <w:rPr>
                <w:b/>
                <w:i/>
              </w:rPr>
              <w:t>164.744</w:t>
            </w:r>
          </w:p>
        </w:tc>
        <w:tc>
          <w:tcPr>
            <w:tcW w:w="473" w:type="pct"/>
            <w:tcBorders>
              <w:top w:val="single" w:sz="4" w:space="0" w:color="auto"/>
              <w:left w:val="single" w:sz="4" w:space="0" w:color="auto"/>
              <w:bottom w:val="single" w:sz="4" w:space="0" w:color="auto"/>
              <w:right w:val="single" w:sz="4" w:space="0" w:color="auto"/>
            </w:tcBorders>
          </w:tcPr>
          <w:p w:rsidR="00A50899" w:rsidRPr="003C482C" w:rsidRDefault="00A50899" w:rsidP="00A324B6">
            <w:pPr>
              <w:pStyle w:val="Bang2"/>
              <w:keepNext w:val="0"/>
              <w:spacing w:before="40" w:after="40"/>
              <w:jc w:val="right"/>
              <w:rPr>
                <w:b/>
                <w:i/>
              </w:rPr>
            </w:pPr>
            <w:r w:rsidRPr="003C482C">
              <w:rPr>
                <w:b/>
                <w:i/>
              </w:rPr>
              <w:t>100</w:t>
            </w:r>
          </w:p>
        </w:tc>
        <w:tc>
          <w:tcPr>
            <w:tcW w:w="757" w:type="pct"/>
            <w:tcBorders>
              <w:top w:val="single" w:sz="4" w:space="0" w:color="auto"/>
              <w:left w:val="single" w:sz="4" w:space="0" w:color="auto"/>
              <w:bottom w:val="single" w:sz="4" w:space="0" w:color="auto"/>
              <w:right w:val="single" w:sz="4" w:space="0" w:color="auto"/>
            </w:tcBorders>
          </w:tcPr>
          <w:p w:rsidR="00A50899" w:rsidRPr="003C482C" w:rsidRDefault="00A50899" w:rsidP="00A324B6">
            <w:pPr>
              <w:pStyle w:val="Bang2"/>
              <w:keepNext w:val="0"/>
              <w:spacing w:before="40" w:after="40"/>
              <w:jc w:val="right"/>
              <w:rPr>
                <w:b/>
                <w:i/>
              </w:rPr>
            </w:pPr>
            <w:r w:rsidRPr="003C482C">
              <w:rPr>
                <w:b/>
                <w:i/>
              </w:rPr>
              <w:t>128.997</w:t>
            </w:r>
          </w:p>
        </w:tc>
        <w:tc>
          <w:tcPr>
            <w:tcW w:w="630" w:type="pct"/>
            <w:tcBorders>
              <w:top w:val="single" w:sz="4" w:space="0" w:color="auto"/>
              <w:left w:val="single" w:sz="4" w:space="0" w:color="auto"/>
              <w:bottom w:val="single" w:sz="4" w:space="0" w:color="auto"/>
              <w:right w:val="single" w:sz="4" w:space="0" w:color="auto"/>
            </w:tcBorders>
          </w:tcPr>
          <w:p w:rsidR="00A50899" w:rsidRPr="003C482C" w:rsidRDefault="00A50899" w:rsidP="00A324B6">
            <w:pPr>
              <w:pStyle w:val="Bang2"/>
              <w:keepNext w:val="0"/>
              <w:spacing w:before="40" w:after="40"/>
              <w:jc w:val="right"/>
              <w:rPr>
                <w:b/>
                <w:i/>
              </w:rPr>
            </w:pPr>
            <w:r w:rsidRPr="003C482C">
              <w:rPr>
                <w:b/>
                <w:i/>
              </w:rPr>
              <w:t>12.799</w:t>
            </w:r>
          </w:p>
        </w:tc>
        <w:tc>
          <w:tcPr>
            <w:tcW w:w="551" w:type="pct"/>
            <w:tcBorders>
              <w:top w:val="single" w:sz="4" w:space="0" w:color="auto"/>
              <w:left w:val="single" w:sz="4" w:space="0" w:color="auto"/>
              <w:bottom w:val="single" w:sz="4" w:space="0" w:color="auto"/>
              <w:right w:val="single" w:sz="4" w:space="0" w:color="auto"/>
            </w:tcBorders>
          </w:tcPr>
          <w:p w:rsidR="00A50899" w:rsidRPr="003C482C" w:rsidRDefault="00A50899" w:rsidP="00A324B6">
            <w:pPr>
              <w:pStyle w:val="Bang2"/>
              <w:keepNext w:val="0"/>
              <w:spacing w:before="40" w:after="40"/>
              <w:jc w:val="right"/>
              <w:rPr>
                <w:b/>
                <w:i/>
              </w:rPr>
            </w:pPr>
            <w:r w:rsidRPr="003C482C">
              <w:rPr>
                <w:b/>
                <w:i/>
              </w:rPr>
              <w:t>15.149</w:t>
            </w:r>
          </w:p>
        </w:tc>
        <w:tc>
          <w:tcPr>
            <w:tcW w:w="468" w:type="pct"/>
            <w:tcBorders>
              <w:top w:val="single" w:sz="4" w:space="0" w:color="auto"/>
              <w:left w:val="single" w:sz="4" w:space="0" w:color="auto"/>
              <w:bottom w:val="single" w:sz="4" w:space="0" w:color="auto"/>
              <w:right w:val="single" w:sz="4" w:space="0" w:color="auto"/>
            </w:tcBorders>
          </w:tcPr>
          <w:p w:rsidR="00A50899" w:rsidRPr="003C482C" w:rsidRDefault="00A50899" w:rsidP="00A324B6">
            <w:pPr>
              <w:pStyle w:val="Bang2"/>
              <w:keepNext w:val="0"/>
              <w:spacing w:before="40" w:after="40"/>
              <w:jc w:val="right"/>
              <w:rPr>
                <w:b/>
                <w:i/>
              </w:rPr>
            </w:pPr>
            <w:r w:rsidRPr="003C482C">
              <w:rPr>
                <w:b/>
                <w:i/>
              </w:rPr>
              <w:t>7.799</w:t>
            </w:r>
          </w:p>
        </w:tc>
      </w:tr>
      <w:tr w:rsidR="00A50899" w:rsidTr="00A324B6">
        <w:trPr>
          <w:jc w:val="center"/>
        </w:trPr>
        <w:tc>
          <w:tcPr>
            <w:tcW w:w="1441"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pPr>
            <w:r>
              <w:t>Nhà nước</w:t>
            </w:r>
          </w:p>
        </w:tc>
        <w:tc>
          <w:tcPr>
            <w:tcW w:w="681"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jc w:val="right"/>
            </w:pPr>
            <w:r>
              <w:t>139.531</w:t>
            </w:r>
          </w:p>
        </w:tc>
        <w:tc>
          <w:tcPr>
            <w:tcW w:w="473"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jc w:val="right"/>
            </w:pPr>
            <w:r>
              <w:t>84,7</w:t>
            </w:r>
          </w:p>
        </w:tc>
        <w:tc>
          <w:tcPr>
            <w:tcW w:w="757"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jc w:val="right"/>
            </w:pPr>
            <w:r>
              <w:t>112.191</w:t>
            </w:r>
          </w:p>
        </w:tc>
        <w:tc>
          <w:tcPr>
            <w:tcW w:w="630"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jc w:val="right"/>
            </w:pPr>
            <w:r>
              <w:t>8.898</w:t>
            </w:r>
          </w:p>
        </w:tc>
        <w:tc>
          <w:tcPr>
            <w:tcW w:w="551"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jc w:val="right"/>
            </w:pPr>
            <w:r>
              <w:t>12.829</w:t>
            </w:r>
          </w:p>
        </w:tc>
        <w:tc>
          <w:tcPr>
            <w:tcW w:w="468"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jc w:val="right"/>
            </w:pPr>
            <w:r>
              <w:t>5.613</w:t>
            </w:r>
          </w:p>
        </w:tc>
      </w:tr>
      <w:tr w:rsidR="00A50899" w:rsidTr="00A324B6">
        <w:trPr>
          <w:jc w:val="center"/>
        </w:trPr>
        <w:tc>
          <w:tcPr>
            <w:tcW w:w="1441"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ind w:left="170"/>
            </w:pPr>
            <w:r>
              <w:t>Ngoài nhà nước</w:t>
            </w:r>
          </w:p>
        </w:tc>
        <w:tc>
          <w:tcPr>
            <w:tcW w:w="681"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jc w:val="right"/>
            </w:pPr>
            <w:r>
              <w:t>20.917</w:t>
            </w:r>
          </w:p>
        </w:tc>
        <w:tc>
          <w:tcPr>
            <w:tcW w:w="473"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jc w:val="right"/>
            </w:pPr>
            <w:r>
              <w:t>12,7</w:t>
            </w:r>
          </w:p>
        </w:tc>
        <w:tc>
          <w:tcPr>
            <w:tcW w:w="757"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jc w:val="right"/>
            </w:pPr>
            <w:r>
              <w:t>15.076</w:t>
            </w:r>
          </w:p>
        </w:tc>
        <w:tc>
          <w:tcPr>
            <w:tcW w:w="630"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jc w:val="right"/>
            </w:pPr>
            <w:r>
              <w:t>2.837</w:t>
            </w:r>
          </w:p>
        </w:tc>
        <w:tc>
          <w:tcPr>
            <w:tcW w:w="551"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jc w:val="right"/>
            </w:pPr>
            <w:r>
              <w:t>1.569</w:t>
            </w:r>
          </w:p>
        </w:tc>
        <w:tc>
          <w:tcPr>
            <w:tcW w:w="468"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jc w:val="right"/>
            </w:pPr>
            <w:r>
              <w:t>1.435</w:t>
            </w:r>
          </w:p>
        </w:tc>
      </w:tr>
      <w:tr w:rsidR="00A50899" w:rsidTr="00A324B6">
        <w:trPr>
          <w:jc w:val="center"/>
        </w:trPr>
        <w:tc>
          <w:tcPr>
            <w:tcW w:w="1441"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ind w:left="170"/>
            </w:pPr>
            <w:r>
              <w:t>Có vốn đầu tư nước ngoài</w:t>
            </w:r>
          </w:p>
        </w:tc>
        <w:tc>
          <w:tcPr>
            <w:tcW w:w="681"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jc w:val="right"/>
            </w:pPr>
            <w:r>
              <w:t>4.296</w:t>
            </w:r>
          </w:p>
        </w:tc>
        <w:tc>
          <w:tcPr>
            <w:tcW w:w="473"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jc w:val="right"/>
            </w:pPr>
            <w:r>
              <w:t>2,6</w:t>
            </w:r>
          </w:p>
        </w:tc>
        <w:tc>
          <w:tcPr>
            <w:tcW w:w="757"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jc w:val="right"/>
            </w:pPr>
            <w:r>
              <w:t>1.730</w:t>
            </w:r>
          </w:p>
        </w:tc>
        <w:tc>
          <w:tcPr>
            <w:tcW w:w="630"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jc w:val="right"/>
            </w:pPr>
            <w:r>
              <w:t>1.064</w:t>
            </w:r>
          </w:p>
        </w:tc>
        <w:tc>
          <w:tcPr>
            <w:tcW w:w="551"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jc w:val="right"/>
            </w:pPr>
            <w:r>
              <w:t>751</w:t>
            </w:r>
          </w:p>
        </w:tc>
        <w:tc>
          <w:tcPr>
            <w:tcW w:w="468"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40" w:after="40"/>
              <w:jc w:val="right"/>
            </w:pPr>
            <w:r>
              <w:t>751</w:t>
            </w:r>
          </w:p>
        </w:tc>
      </w:tr>
    </w:tbl>
    <w:p w:rsidR="00A50899" w:rsidRDefault="00A50899" w:rsidP="00A50899">
      <w:pPr>
        <w:pStyle w:val="nguon"/>
      </w:pPr>
      <w:r>
        <w:lastRenderedPageBreak/>
        <w:t>Nguồn: Tổng hợp từ Điều tra NC&amp;PT 2014 và Điều tra doanh nghiệp 2014.</w:t>
      </w:r>
    </w:p>
    <w:p w:rsidR="00A50899" w:rsidRPr="00454A79" w:rsidRDefault="00A50899" w:rsidP="00A50899">
      <w:pPr>
        <w:pStyle w:val="bodyA0"/>
        <w:spacing w:before="100" w:after="0" w:line="266" w:lineRule="auto"/>
        <w:rPr>
          <w:lang w:val="vi-VN"/>
        </w:rPr>
      </w:pPr>
      <w:r w:rsidRPr="00454A79">
        <w:rPr>
          <w:lang w:val="vi-VN"/>
        </w:rPr>
        <w:t xml:space="preserve">Theo thành phần kinh tế của tổ chức NC&amp;PT thì số nhân lực NC&amp;PT trong khu vực của Nhà nước là 139.531 người và chiếm đa số lực lượng NC&amp;PT (84,7%). Khu vực ngoài nhà nước có số nhân lực NC&amp;PT là 20.917 người, chiếm 12,7% và khu vực có vốn đầu tư nước ngoài là 4.296 người, chiếm 2,6% (Bảng </w:t>
      </w:r>
      <w:r>
        <w:rPr>
          <w:lang w:val="en-US"/>
        </w:rPr>
        <w:t>1</w:t>
      </w:r>
      <w:r w:rsidRPr="00454A79">
        <w:rPr>
          <w:lang w:val="vi-VN"/>
        </w:rPr>
        <w:t xml:space="preserve">.8). </w:t>
      </w:r>
    </w:p>
    <w:p w:rsidR="00320ECA" w:rsidRDefault="00A50899" w:rsidP="00A50899">
      <w:pPr>
        <w:pStyle w:val="bodyA0"/>
        <w:spacing w:before="100" w:after="0" w:line="266" w:lineRule="auto"/>
        <w:rPr>
          <w:lang w:val="vi-VN"/>
        </w:rPr>
      </w:pPr>
      <w:r w:rsidRPr="00454A79">
        <w:rPr>
          <w:lang w:val="vi-VN"/>
        </w:rPr>
        <w:t xml:space="preserve">Theo khu vực hoạt động, các tổ chức NC&amp;PT được chia thành </w:t>
      </w:r>
    </w:p>
    <w:p w:rsidR="00A50899" w:rsidRPr="00454A79" w:rsidRDefault="00A50899" w:rsidP="00A50899">
      <w:pPr>
        <w:pStyle w:val="bodyA0"/>
        <w:spacing w:before="100" w:after="0" w:line="266" w:lineRule="auto"/>
        <w:rPr>
          <w:lang w:val="vi-VN"/>
        </w:rPr>
      </w:pPr>
      <w:r w:rsidRPr="00454A79">
        <w:rPr>
          <w:lang w:val="vi-VN"/>
        </w:rPr>
        <w:t xml:space="preserve">6 khu vực (Bảng </w:t>
      </w:r>
      <w:r>
        <w:rPr>
          <w:lang w:val="en-US"/>
        </w:rPr>
        <w:t>1</w:t>
      </w:r>
      <w:r w:rsidRPr="00454A79">
        <w:rPr>
          <w:lang w:val="vi-VN"/>
        </w:rPr>
        <w:t xml:space="preserve">.9, Hình </w:t>
      </w:r>
      <w:r>
        <w:rPr>
          <w:lang w:val="en-US"/>
        </w:rPr>
        <w:t>1</w:t>
      </w:r>
      <w:r w:rsidRPr="00454A79">
        <w:rPr>
          <w:lang w:val="vi-VN"/>
        </w:rPr>
        <w:t>.7): (1) Tổ chức NC&amp;PT; (2) Trường đại học (bao gồm các đại học quốc gia, đại học vùng, các trường đại học, các học viện và trường cao đẳng); (3) Cơ quan hành chính; (4) Đơn vị sự nghiệp khác (như bệnh viện, bảo tàng...); (5) Doanh nghiệp; và (6) Tổ chức phi lợi nhuận. Theo đó, số nhân lực NC&amp;PT nằm chủ yếu ở khu vực trường đại học với 74.217 người, chiếm tỷ lệ 45% trên tổng nhân lực NC&amp;PT; tiếp sau là khu vực các tổ chức NC&amp;PT (37.481 người, chiếm 22,8%). Số liệu cũng cho thấy khu vực đơn vị hành chính và sự nghiệp khác (không phải tổ chức NC&amp;PT chuyên nghiệp), số người tham gia hoạt động NC&amp;PT cũng khá đông, cả hai chiếm 13,9% tổng số nhân lực NC&amp;PT. Khu vực doanh nghiệp có 28.708 người tham gia hoạt động NC&amp;PT, chiếm 17,4% tổng số nhân lực NC&amp;PT.</w:t>
      </w:r>
    </w:p>
    <w:p w:rsidR="00A50899" w:rsidRPr="00454A79" w:rsidRDefault="00A50899" w:rsidP="00A50899">
      <w:pPr>
        <w:pStyle w:val="khcnvnTenBang"/>
        <w:spacing w:before="200"/>
        <w:rPr>
          <w:lang w:val="vi-VN"/>
        </w:rPr>
      </w:pPr>
      <w:bookmarkStart w:id="26" w:name="_Toc453342466"/>
      <w:r w:rsidRPr="00454A79">
        <w:rPr>
          <w:b/>
          <w:i/>
          <w:lang w:val="vi-VN"/>
        </w:rPr>
        <w:t xml:space="preserve">Bảng </w:t>
      </w:r>
      <w:r>
        <w:rPr>
          <w:b/>
          <w:i/>
        </w:rPr>
        <w:t>1</w:t>
      </w:r>
      <w:r w:rsidRPr="00454A79">
        <w:rPr>
          <w:b/>
          <w:i/>
          <w:lang w:val="vi-VN"/>
        </w:rPr>
        <w:t>.9.</w:t>
      </w:r>
      <w:r w:rsidRPr="00454A79">
        <w:rPr>
          <w:lang w:val="vi-VN"/>
        </w:rPr>
        <w:t xml:space="preserve"> Nhân lực NC&amp;PT theo khu vực hoạt động và vị trí hoạt động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54"/>
        <w:gridCol w:w="1219"/>
        <w:gridCol w:w="855"/>
        <w:gridCol w:w="1234"/>
        <w:gridCol w:w="1234"/>
        <w:gridCol w:w="1027"/>
        <w:gridCol w:w="1027"/>
      </w:tblGrid>
      <w:tr w:rsidR="00A50899" w:rsidTr="00A324B6">
        <w:trPr>
          <w:trHeight w:val="20"/>
          <w:jc w:val="center"/>
        </w:trPr>
        <w:tc>
          <w:tcPr>
            <w:tcW w:w="1473" w:type="pct"/>
            <w:vMerge w:val="restart"/>
            <w:tcBorders>
              <w:top w:val="single" w:sz="4" w:space="0" w:color="auto"/>
              <w:left w:val="single" w:sz="4" w:space="0" w:color="auto"/>
              <w:bottom w:val="single" w:sz="4" w:space="0" w:color="auto"/>
              <w:right w:val="single" w:sz="4" w:space="0" w:color="auto"/>
            </w:tcBorders>
            <w:shd w:val="clear" w:color="auto" w:fill="66CCFF"/>
            <w:vAlign w:val="center"/>
          </w:tcPr>
          <w:bookmarkEnd w:id="26"/>
          <w:p w:rsidR="00A50899" w:rsidRDefault="00A50899" w:rsidP="00A324B6">
            <w:pPr>
              <w:pStyle w:val="Bang2"/>
              <w:keepNext w:val="0"/>
              <w:spacing w:before="40"/>
              <w:rPr>
                <w:b/>
                <w:sz w:val="18"/>
                <w:szCs w:val="18"/>
              </w:rPr>
            </w:pPr>
            <w:r>
              <w:rPr>
                <w:b/>
                <w:sz w:val="18"/>
                <w:szCs w:val="18"/>
              </w:rPr>
              <w:t>Khu vực hoạt động</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66CCFF"/>
            <w:vAlign w:val="center"/>
          </w:tcPr>
          <w:p w:rsidR="00A50899" w:rsidRDefault="00A50899" w:rsidP="00A324B6">
            <w:pPr>
              <w:pStyle w:val="Bang2"/>
              <w:keepNext w:val="0"/>
              <w:spacing w:before="40"/>
              <w:jc w:val="center"/>
              <w:rPr>
                <w:b/>
                <w:sz w:val="18"/>
                <w:szCs w:val="18"/>
              </w:rPr>
            </w:pPr>
            <w:r>
              <w:rPr>
                <w:b/>
                <w:sz w:val="18"/>
                <w:szCs w:val="18"/>
              </w:rPr>
              <w:t>Tổng số</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66CCFF"/>
            <w:vAlign w:val="center"/>
          </w:tcPr>
          <w:p w:rsidR="00A50899" w:rsidRDefault="00A50899" w:rsidP="00A324B6">
            <w:pPr>
              <w:pStyle w:val="Bang2"/>
              <w:keepNext w:val="0"/>
              <w:spacing w:before="40"/>
              <w:jc w:val="center"/>
              <w:rPr>
                <w:b/>
                <w:sz w:val="18"/>
                <w:szCs w:val="18"/>
              </w:rPr>
            </w:pPr>
            <w:r>
              <w:rPr>
                <w:b/>
                <w:sz w:val="18"/>
                <w:szCs w:val="18"/>
              </w:rPr>
              <w:t>Tỷ lệ (%)</w:t>
            </w:r>
          </w:p>
        </w:tc>
        <w:tc>
          <w:tcPr>
            <w:tcW w:w="2419" w:type="pct"/>
            <w:gridSpan w:val="4"/>
            <w:tcBorders>
              <w:top w:val="single" w:sz="4" w:space="0" w:color="auto"/>
              <w:left w:val="single" w:sz="4" w:space="0" w:color="auto"/>
              <w:bottom w:val="single" w:sz="4" w:space="0" w:color="auto"/>
              <w:right w:val="single" w:sz="4" w:space="0" w:color="auto"/>
            </w:tcBorders>
            <w:shd w:val="clear" w:color="auto" w:fill="66CCFF"/>
            <w:vAlign w:val="center"/>
          </w:tcPr>
          <w:p w:rsidR="00A50899" w:rsidRDefault="00A50899" w:rsidP="00A324B6">
            <w:pPr>
              <w:pStyle w:val="Bang2"/>
              <w:keepNext w:val="0"/>
              <w:spacing w:before="40"/>
              <w:jc w:val="center"/>
              <w:rPr>
                <w:b/>
                <w:sz w:val="18"/>
                <w:szCs w:val="18"/>
              </w:rPr>
            </w:pPr>
            <w:r>
              <w:rPr>
                <w:b/>
                <w:sz w:val="18"/>
                <w:szCs w:val="18"/>
              </w:rPr>
              <w:t>Vị trí hoạt động</w:t>
            </w:r>
          </w:p>
        </w:tc>
      </w:tr>
      <w:tr w:rsidR="00A50899" w:rsidTr="00A324B6">
        <w:trPr>
          <w:trHeight w:val="20"/>
          <w:jc w:val="center"/>
        </w:trPr>
        <w:tc>
          <w:tcPr>
            <w:tcW w:w="1473" w:type="pct"/>
            <w:vMerge/>
            <w:tcBorders>
              <w:top w:val="single" w:sz="4" w:space="0" w:color="auto"/>
              <w:left w:val="single" w:sz="4" w:space="0" w:color="auto"/>
              <w:bottom w:val="single" w:sz="4" w:space="0" w:color="auto"/>
              <w:right w:val="single" w:sz="4" w:space="0" w:color="auto"/>
            </w:tcBorders>
            <w:shd w:val="clear" w:color="auto" w:fill="66CCFF"/>
            <w:vAlign w:val="center"/>
          </w:tcPr>
          <w:p w:rsidR="00A50899" w:rsidRDefault="00A50899" w:rsidP="00A324B6">
            <w:pPr>
              <w:spacing w:before="40" w:after="60"/>
              <w:rPr>
                <w:rFonts w:ascii="Arial" w:hAnsi="Arial"/>
                <w:b/>
                <w:bCs/>
                <w:iCs/>
                <w:sz w:val="18"/>
                <w:szCs w:val="18"/>
              </w:rPr>
            </w:pPr>
          </w:p>
        </w:tc>
        <w:tc>
          <w:tcPr>
            <w:tcW w:w="652" w:type="pct"/>
            <w:vMerge/>
            <w:tcBorders>
              <w:top w:val="single" w:sz="4" w:space="0" w:color="auto"/>
              <w:left w:val="single" w:sz="4" w:space="0" w:color="auto"/>
              <w:bottom w:val="single" w:sz="4" w:space="0" w:color="auto"/>
              <w:right w:val="single" w:sz="4" w:space="0" w:color="auto"/>
            </w:tcBorders>
            <w:shd w:val="clear" w:color="auto" w:fill="66CCFF"/>
            <w:vAlign w:val="center"/>
          </w:tcPr>
          <w:p w:rsidR="00A50899" w:rsidRDefault="00A50899" w:rsidP="00A324B6">
            <w:pPr>
              <w:spacing w:before="40" w:after="60"/>
              <w:rPr>
                <w:rFonts w:ascii="Arial" w:hAnsi="Arial"/>
                <w:b/>
                <w:bCs/>
                <w:iCs/>
                <w:sz w:val="18"/>
                <w:szCs w:val="18"/>
              </w:rPr>
            </w:pPr>
          </w:p>
        </w:tc>
        <w:tc>
          <w:tcPr>
            <w:tcW w:w="457" w:type="pct"/>
            <w:vMerge/>
            <w:tcBorders>
              <w:top w:val="single" w:sz="4" w:space="0" w:color="auto"/>
              <w:left w:val="single" w:sz="4" w:space="0" w:color="auto"/>
              <w:bottom w:val="single" w:sz="4" w:space="0" w:color="auto"/>
              <w:right w:val="single" w:sz="4" w:space="0" w:color="auto"/>
            </w:tcBorders>
            <w:shd w:val="clear" w:color="auto" w:fill="66CCFF"/>
            <w:vAlign w:val="center"/>
          </w:tcPr>
          <w:p w:rsidR="00A50899" w:rsidRDefault="00A50899" w:rsidP="00A324B6">
            <w:pPr>
              <w:spacing w:before="40" w:after="60"/>
              <w:rPr>
                <w:rFonts w:ascii="Arial" w:hAnsi="Arial"/>
                <w:b/>
                <w:bCs/>
                <w:iCs/>
                <w:sz w:val="18"/>
                <w:szCs w:val="18"/>
              </w:rPr>
            </w:pPr>
          </w:p>
        </w:tc>
        <w:tc>
          <w:tcPr>
            <w:tcW w:w="660" w:type="pct"/>
            <w:tcBorders>
              <w:top w:val="single" w:sz="4" w:space="0" w:color="auto"/>
              <w:left w:val="single" w:sz="4" w:space="0" w:color="auto"/>
              <w:bottom w:val="single" w:sz="4" w:space="0" w:color="auto"/>
              <w:right w:val="single" w:sz="4" w:space="0" w:color="auto"/>
            </w:tcBorders>
            <w:shd w:val="clear" w:color="auto" w:fill="66CCFF"/>
            <w:vAlign w:val="center"/>
          </w:tcPr>
          <w:p w:rsidR="00A50899" w:rsidRDefault="00A50899" w:rsidP="00A324B6">
            <w:pPr>
              <w:pStyle w:val="Bang2"/>
              <w:keepNext w:val="0"/>
              <w:spacing w:before="40"/>
              <w:jc w:val="center"/>
              <w:rPr>
                <w:b/>
                <w:sz w:val="18"/>
                <w:szCs w:val="18"/>
              </w:rPr>
            </w:pPr>
            <w:r>
              <w:rPr>
                <w:b/>
                <w:sz w:val="18"/>
                <w:szCs w:val="18"/>
              </w:rPr>
              <w:t>Cán bộ nghiên cứu</w:t>
            </w:r>
          </w:p>
        </w:tc>
        <w:tc>
          <w:tcPr>
            <w:tcW w:w="660" w:type="pct"/>
            <w:tcBorders>
              <w:top w:val="single" w:sz="4" w:space="0" w:color="auto"/>
              <w:left w:val="single" w:sz="4" w:space="0" w:color="auto"/>
              <w:bottom w:val="single" w:sz="4" w:space="0" w:color="auto"/>
              <w:right w:val="single" w:sz="4" w:space="0" w:color="auto"/>
            </w:tcBorders>
            <w:shd w:val="clear" w:color="auto" w:fill="66CCFF"/>
            <w:vAlign w:val="center"/>
          </w:tcPr>
          <w:p w:rsidR="00A50899" w:rsidRDefault="00A50899" w:rsidP="00A324B6">
            <w:pPr>
              <w:pStyle w:val="Bang2"/>
              <w:keepNext w:val="0"/>
              <w:spacing w:before="40"/>
              <w:jc w:val="center"/>
              <w:rPr>
                <w:b/>
                <w:sz w:val="18"/>
                <w:szCs w:val="18"/>
              </w:rPr>
            </w:pPr>
            <w:r>
              <w:rPr>
                <w:b/>
                <w:sz w:val="18"/>
                <w:szCs w:val="18"/>
              </w:rPr>
              <w:t>Cán bộ kỹ thuật</w:t>
            </w:r>
          </w:p>
        </w:tc>
        <w:tc>
          <w:tcPr>
            <w:tcW w:w="549" w:type="pct"/>
            <w:tcBorders>
              <w:top w:val="single" w:sz="4" w:space="0" w:color="auto"/>
              <w:left w:val="single" w:sz="4" w:space="0" w:color="auto"/>
              <w:bottom w:val="single" w:sz="4" w:space="0" w:color="auto"/>
              <w:right w:val="single" w:sz="4" w:space="0" w:color="auto"/>
            </w:tcBorders>
            <w:shd w:val="clear" w:color="auto" w:fill="66CCFF"/>
            <w:vAlign w:val="center"/>
          </w:tcPr>
          <w:p w:rsidR="00320ECA" w:rsidRDefault="00A50899" w:rsidP="00A324B6">
            <w:pPr>
              <w:pStyle w:val="Bang2"/>
              <w:keepNext w:val="0"/>
              <w:spacing w:before="40"/>
              <w:jc w:val="center"/>
              <w:rPr>
                <w:b/>
                <w:sz w:val="18"/>
                <w:szCs w:val="18"/>
              </w:rPr>
            </w:pPr>
            <w:r>
              <w:rPr>
                <w:b/>
                <w:sz w:val="18"/>
                <w:szCs w:val="18"/>
              </w:rPr>
              <w:t xml:space="preserve">Cán bộ </w:t>
            </w:r>
          </w:p>
          <w:p w:rsidR="00A50899" w:rsidRDefault="00A50899" w:rsidP="00A324B6">
            <w:pPr>
              <w:pStyle w:val="Bang2"/>
              <w:keepNext w:val="0"/>
              <w:spacing w:before="40"/>
              <w:jc w:val="center"/>
              <w:rPr>
                <w:b/>
                <w:sz w:val="18"/>
                <w:szCs w:val="18"/>
              </w:rPr>
            </w:pPr>
            <w:r>
              <w:rPr>
                <w:b/>
                <w:sz w:val="18"/>
                <w:szCs w:val="18"/>
              </w:rPr>
              <w:t>hỗ trợ</w:t>
            </w:r>
          </w:p>
        </w:tc>
        <w:tc>
          <w:tcPr>
            <w:tcW w:w="549" w:type="pct"/>
            <w:tcBorders>
              <w:top w:val="single" w:sz="4" w:space="0" w:color="auto"/>
              <w:left w:val="single" w:sz="4" w:space="0" w:color="auto"/>
              <w:bottom w:val="single" w:sz="4" w:space="0" w:color="auto"/>
              <w:right w:val="single" w:sz="4" w:space="0" w:color="auto"/>
            </w:tcBorders>
            <w:shd w:val="clear" w:color="auto" w:fill="66CCFF"/>
            <w:vAlign w:val="center"/>
          </w:tcPr>
          <w:p w:rsidR="00A50899" w:rsidRDefault="00A50899" w:rsidP="00A324B6">
            <w:pPr>
              <w:pStyle w:val="Bang2"/>
              <w:keepNext w:val="0"/>
              <w:spacing w:before="40"/>
              <w:jc w:val="center"/>
              <w:rPr>
                <w:b/>
                <w:sz w:val="18"/>
                <w:szCs w:val="18"/>
              </w:rPr>
            </w:pPr>
            <w:r>
              <w:rPr>
                <w:b/>
                <w:sz w:val="18"/>
                <w:szCs w:val="18"/>
              </w:rPr>
              <w:t>Khác</w:t>
            </w:r>
          </w:p>
        </w:tc>
      </w:tr>
      <w:tr w:rsidR="00A50899" w:rsidTr="00A324B6">
        <w:trPr>
          <w:trHeight w:val="20"/>
          <w:jc w:val="center"/>
        </w:trPr>
        <w:tc>
          <w:tcPr>
            <w:tcW w:w="1473"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keepNext w:val="0"/>
              <w:spacing w:before="40"/>
              <w:rPr>
                <w:b/>
                <w:i/>
              </w:rPr>
            </w:pPr>
            <w:r>
              <w:rPr>
                <w:b/>
                <w:i/>
              </w:rPr>
              <w:t>Tổng số nhân lực NC&amp;PT theo khu vực và vị trí hoạt động</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keepNext w:val="0"/>
              <w:spacing w:before="40"/>
              <w:jc w:val="right"/>
              <w:rPr>
                <w:b/>
                <w:i/>
              </w:rPr>
            </w:pPr>
            <w:r>
              <w:rPr>
                <w:b/>
                <w:i/>
              </w:rPr>
              <w:t>164.744</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keepNext w:val="0"/>
              <w:spacing w:before="40"/>
              <w:jc w:val="right"/>
              <w:rPr>
                <w:rFonts w:cs="Arial"/>
                <w:b/>
                <w:i/>
                <w:color w:val="000000"/>
                <w:szCs w:val="20"/>
              </w:rPr>
            </w:pPr>
            <w:r>
              <w:rPr>
                <w:rFonts w:cs="Arial"/>
                <w:b/>
                <w:i/>
                <w:color w:val="000000"/>
                <w:szCs w:val="20"/>
              </w:rPr>
              <w:t>100</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keepNext w:val="0"/>
              <w:spacing w:before="40"/>
              <w:jc w:val="right"/>
              <w:rPr>
                <w:b/>
                <w:i/>
              </w:rPr>
            </w:pPr>
            <w:r>
              <w:rPr>
                <w:b/>
                <w:i/>
              </w:rPr>
              <w:t>128.997</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keepNext w:val="0"/>
              <w:spacing w:before="40"/>
              <w:jc w:val="right"/>
              <w:rPr>
                <w:b/>
                <w:i/>
              </w:rPr>
            </w:pPr>
            <w:r>
              <w:rPr>
                <w:b/>
                <w:i/>
              </w:rPr>
              <w:t>12.799</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keepNext w:val="0"/>
              <w:spacing w:before="40"/>
              <w:jc w:val="right"/>
              <w:rPr>
                <w:b/>
                <w:i/>
              </w:rPr>
            </w:pPr>
            <w:r>
              <w:rPr>
                <w:b/>
                <w:i/>
              </w:rPr>
              <w:t>15.149</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keepNext w:val="0"/>
              <w:spacing w:before="40"/>
              <w:jc w:val="right"/>
              <w:rPr>
                <w:b/>
                <w:i/>
              </w:rPr>
            </w:pPr>
            <w:r>
              <w:rPr>
                <w:b/>
                <w:i/>
              </w:rPr>
              <w:t>7.799</w:t>
            </w:r>
          </w:p>
        </w:tc>
      </w:tr>
      <w:tr w:rsidR="00A50899" w:rsidTr="00A324B6">
        <w:trPr>
          <w:trHeight w:val="20"/>
          <w:jc w:val="center"/>
        </w:trPr>
        <w:tc>
          <w:tcPr>
            <w:tcW w:w="1473"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pPr>
            <w:r>
              <w:t>Tổ chức NC&amp;PT</w:t>
            </w:r>
          </w:p>
        </w:tc>
        <w:tc>
          <w:tcPr>
            <w:tcW w:w="652"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37.481</w:t>
            </w:r>
          </w:p>
        </w:tc>
        <w:tc>
          <w:tcPr>
            <w:tcW w:w="457"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rPr>
                <w:rFonts w:cs="Arial"/>
                <w:color w:val="000000"/>
                <w:szCs w:val="20"/>
              </w:rPr>
            </w:pPr>
            <w:r>
              <w:rPr>
                <w:rFonts w:cs="Arial"/>
                <w:color w:val="000000"/>
                <w:szCs w:val="20"/>
              </w:rPr>
              <w:t>22,8</w:t>
            </w:r>
          </w:p>
        </w:tc>
        <w:tc>
          <w:tcPr>
            <w:tcW w:w="660"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29.820</w:t>
            </w:r>
          </w:p>
        </w:tc>
        <w:tc>
          <w:tcPr>
            <w:tcW w:w="660"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1.895</w:t>
            </w:r>
          </w:p>
        </w:tc>
        <w:tc>
          <w:tcPr>
            <w:tcW w:w="549"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3.852</w:t>
            </w:r>
          </w:p>
        </w:tc>
        <w:tc>
          <w:tcPr>
            <w:tcW w:w="549"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1.914</w:t>
            </w:r>
          </w:p>
        </w:tc>
      </w:tr>
      <w:tr w:rsidR="00A50899" w:rsidTr="00A324B6">
        <w:trPr>
          <w:trHeight w:val="20"/>
          <w:jc w:val="center"/>
        </w:trPr>
        <w:tc>
          <w:tcPr>
            <w:tcW w:w="1473"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pPr>
            <w:r>
              <w:t>Trường đại học</w:t>
            </w:r>
          </w:p>
        </w:tc>
        <w:tc>
          <w:tcPr>
            <w:tcW w:w="652"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74.217</w:t>
            </w:r>
          </w:p>
        </w:tc>
        <w:tc>
          <w:tcPr>
            <w:tcW w:w="457"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rPr>
                <w:rFonts w:cs="Arial"/>
                <w:color w:val="000000"/>
                <w:szCs w:val="20"/>
              </w:rPr>
            </w:pPr>
            <w:r>
              <w:rPr>
                <w:rFonts w:cs="Arial"/>
                <w:color w:val="000000"/>
                <w:szCs w:val="20"/>
              </w:rPr>
              <w:t>45,0</w:t>
            </w:r>
          </w:p>
        </w:tc>
        <w:tc>
          <w:tcPr>
            <w:tcW w:w="660"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63.435</w:t>
            </w:r>
          </w:p>
        </w:tc>
        <w:tc>
          <w:tcPr>
            <w:tcW w:w="660"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2.524</w:t>
            </w:r>
          </w:p>
        </w:tc>
        <w:tc>
          <w:tcPr>
            <w:tcW w:w="549"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6.131</w:t>
            </w:r>
          </w:p>
        </w:tc>
        <w:tc>
          <w:tcPr>
            <w:tcW w:w="549"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2.127</w:t>
            </w:r>
          </w:p>
        </w:tc>
      </w:tr>
      <w:tr w:rsidR="00A50899" w:rsidTr="00A324B6">
        <w:trPr>
          <w:trHeight w:val="20"/>
          <w:jc w:val="center"/>
        </w:trPr>
        <w:tc>
          <w:tcPr>
            <w:tcW w:w="1473"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pPr>
            <w:r>
              <w:t xml:space="preserve">Cơ quan hành chính  </w:t>
            </w:r>
          </w:p>
        </w:tc>
        <w:tc>
          <w:tcPr>
            <w:tcW w:w="652"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10.926</w:t>
            </w:r>
          </w:p>
        </w:tc>
        <w:tc>
          <w:tcPr>
            <w:tcW w:w="457"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rPr>
                <w:rFonts w:cs="Arial"/>
                <w:color w:val="000000"/>
                <w:szCs w:val="20"/>
              </w:rPr>
            </w:pPr>
            <w:r>
              <w:rPr>
                <w:rFonts w:cs="Arial"/>
                <w:color w:val="000000"/>
                <w:szCs w:val="20"/>
              </w:rPr>
              <w:t>6,6</w:t>
            </w:r>
          </w:p>
        </w:tc>
        <w:tc>
          <w:tcPr>
            <w:tcW w:w="660"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8.460</w:t>
            </w:r>
          </w:p>
        </w:tc>
        <w:tc>
          <w:tcPr>
            <w:tcW w:w="660"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987</w:t>
            </w:r>
          </w:p>
        </w:tc>
        <w:tc>
          <w:tcPr>
            <w:tcW w:w="549"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979</w:t>
            </w:r>
          </w:p>
        </w:tc>
        <w:tc>
          <w:tcPr>
            <w:tcW w:w="549"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500</w:t>
            </w:r>
          </w:p>
        </w:tc>
      </w:tr>
      <w:tr w:rsidR="00A50899" w:rsidTr="00A324B6">
        <w:trPr>
          <w:trHeight w:val="20"/>
          <w:jc w:val="center"/>
        </w:trPr>
        <w:tc>
          <w:tcPr>
            <w:tcW w:w="1473"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pPr>
            <w:r>
              <w:t>Đơn vị sự nghiệp khác</w:t>
            </w:r>
          </w:p>
        </w:tc>
        <w:tc>
          <w:tcPr>
            <w:tcW w:w="652"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11.989</w:t>
            </w:r>
          </w:p>
        </w:tc>
        <w:tc>
          <w:tcPr>
            <w:tcW w:w="457"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rPr>
                <w:rFonts w:cs="Arial"/>
                <w:color w:val="000000"/>
                <w:szCs w:val="20"/>
              </w:rPr>
            </w:pPr>
            <w:r>
              <w:rPr>
                <w:rFonts w:cs="Arial"/>
                <w:color w:val="000000"/>
                <w:szCs w:val="20"/>
              </w:rPr>
              <w:t>7,3</w:t>
            </w:r>
          </w:p>
        </w:tc>
        <w:tc>
          <w:tcPr>
            <w:tcW w:w="660"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7.495</w:t>
            </w:r>
          </w:p>
        </w:tc>
        <w:tc>
          <w:tcPr>
            <w:tcW w:w="660"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2.580</w:t>
            </w:r>
          </w:p>
        </w:tc>
        <w:tc>
          <w:tcPr>
            <w:tcW w:w="549"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1.386</w:t>
            </w:r>
          </w:p>
        </w:tc>
        <w:tc>
          <w:tcPr>
            <w:tcW w:w="549"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jc w:val="right"/>
            </w:pPr>
            <w:r>
              <w:t>528</w:t>
            </w:r>
          </w:p>
        </w:tc>
      </w:tr>
      <w:tr w:rsidR="00A50899" w:rsidTr="00A324B6">
        <w:trPr>
          <w:trHeight w:val="20"/>
          <w:jc w:val="center"/>
        </w:trPr>
        <w:tc>
          <w:tcPr>
            <w:tcW w:w="1473"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pPr>
            <w:r>
              <w:t>Doanh nghiệp</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keepNext w:val="0"/>
              <w:spacing w:before="50" w:after="50"/>
              <w:jc w:val="right"/>
            </w:pPr>
            <w:r>
              <w:t>28.708</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keepNext w:val="0"/>
              <w:spacing w:before="50" w:after="50"/>
              <w:jc w:val="right"/>
              <w:rPr>
                <w:rFonts w:cs="Arial"/>
                <w:color w:val="000000"/>
                <w:szCs w:val="20"/>
              </w:rPr>
            </w:pPr>
            <w:r>
              <w:rPr>
                <w:rFonts w:cs="Arial"/>
                <w:color w:val="000000"/>
                <w:szCs w:val="20"/>
              </w:rPr>
              <w:t>17,4</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keepNext w:val="0"/>
              <w:spacing w:before="50" w:after="50"/>
              <w:jc w:val="right"/>
            </w:pPr>
            <w:r>
              <w:t>18.553</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keepNext w:val="0"/>
              <w:spacing w:before="50" w:after="50"/>
              <w:jc w:val="right"/>
            </w:pPr>
            <w:r>
              <w:t>4.745</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keepNext w:val="0"/>
              <w:spacing w:before="50" w:after="50"/>
              <w:jc w:val="right"/>
            </w:pPr>
            <w:r>
              <w:t>2.705</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keepNext w:val="0"/>
              <w:spacing w:before="50" w:after="50"/>
              <w:jc w:val="right"/>
            </w:pPr>
            <w:r>
              <w:t>2.705</w:t>
            </w:r>
          </w:p>
        </w:tc>
      </w:tr>
      <w:tr w:rsidR="00A50899" w:rsidTr="00A324B6">
        <w:trPr>
          <w:trHeight w:val="20"/>
          <w:jc w:val="center"/>
        </w:trPr>
        <w:tc>
          <w:tcPr>
            <w:tcW w:w="1473"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50" w:after="50"/>
            </w:pPr>
            <w:r>
              <w:t>Phi lợi nhuận</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keepNext w:val="0"/>
              <w:spacing w:before="50" w:after="50"/>
              <w:jc w:val="right"/>
            </w:pPr>
            <w:r>
              <w:t>1.423</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keepNext w:val="0"/>
              <w:spacing w:before="50" w:after="50"/>
              <w:jc w:val="right"/>
              <w:rPr>
                <w:rFonts w:cs="Arial"/>
                <w:color w:val="000000"/>
                <w:szCs w:val="20"/>
              </w:rPr>
            </w:pPr>
            <w:r>
              <w:rPr>
                <w:rFonts w:cs="Arial"/>
                <w:color w:val="000000"/>
                <w:szCs w:val="20"/>
              </w:rPr>
              <w:t>0,9</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keepNext w:val="0"/>
              <w:spacing w:before="50" w:after="50"/>
              <w:jc w:val="right"/>
            </w:pPr>
            <w:r>
              <w:t>1.234</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keepNext w:val="0"/>
              <w:spacing w:before="50" w:after="50"/>
              <w:jc w:val="right"/>
            </w:pPr>
            <w:r>
              <w:t>68</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keepNext w:val="0"/>
              <w:spacing w:before="50" w:after="50"/>
              <w:jc w:val="right"/>
            </w:pPr>
            <w:r>
              <w:t>96</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keepNext w:val="0"/>
              <w:spacing w:before="50" w:after="50"/>
              <w:jc w:val="right"/>
            </w:pPr>
            <w:r>
              <w:t>25</w:t>
            </w:r>
          </w:p>
        </w:tc>
      </w:tr>
    </w:tbl>
    <w:p w:rsidR="00A50899" w:rsidRDefault="00A50899" w:rsidP="00A50899">
      <w:pPr>
        <w:pStyle w:val="Bang2"/>
        <w:keepNext w:val="0"/>
        <w:spacing w:before="120"/>
        <w:jc w:val="right"/>
        <w:rPr>
          <w:i/>
        </w:rPr>
      </w:pPr>
      <w:r>
        <w:rPr>
          <w:i/>
        </w:rPr>
        <w:t>Nguồn: Tổng hợp từ Điều tra NC&amp;PT 2014 và Điều tra doanh nghiệp 2014.</w:t>
      </w:r>
    </w:p>
    <w:p w:rsidR="00A50899" w:rsidRPr="00842D77" w:rsidRDefault="00A50899" w:rsidP="00A50899">
      <w:pPr>
        <w:pStyle w:val="Bang2"/>
        <w:spacing w:before="120"/>
        <w:jc w:val="center"/>
      </w:pPr>
      <w:r w:rsidRPr="00842D77">
        <w:rPr>
          <w:noProof/>
        </w:rPr>
        <w:drawing>
          <wp:inline distT="0" distB="0" distL="0" distR="0" wp14:anchorId="3E759F3C" wp14:editId="416A8A87">
            <wp:extent cx="3827780" cy="19246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b="12094"/>
                    <a:stretch>
                      <a:fillRect/>
                    </a:stretch>
                  </pic:blipFill>
                  <pic:spPr bwMode="auto">
                    <a:xfrm>
                      <a:off x="0" y="0"/>
                      <a:ext cx="3827780" cy="1924685"/>
                    </a:xfrm>
                    <a:prstGeom prst="rect">
                      <a:avLst/>
                    </a:prstGeom>
                    <a:noFill/>
                    <a:ln>
                      <a:noFill/>
                    </a:ln>
                  </pic:spPr>
                </pic:pic>
              </a:graphicData>
            </a:graphic>
          </wp:inline>
        </w:drawing>
      </w:r>
    </w:p>
    <w:p w:rsidR="00A50899" w:rsidRDefault="00A50899" w:rsidP="00A50899">
      <w:pPr>
        <w:pStyle w:val="khcnvntenhinh"/>
        <w:rPr>
          <w:lang w:val="vi-VN"/>
        </w:rPr>
      </w:pPr>
      <w:bookmarkStart w:id="27" w:name="_Toc453341471"/>
      <w:bookmarkStart w:id="28" w:name="_Toc451518365"/>
      <w:r w:rsidRPr="00A05AE4">
        <w:rPr>
          <w:b/>
          <w:i/>
          <w:lang w:val="vi-VN"/>
        </w:rPr>
        <w:t xml:space="preserve">Hình </w:t>
      </w:r>
      <w:r>
        <w:rPr>
          <w:b/>
          <w:i/>
        </w:rPr>
        <w:t>1</w:t>
      </w:r>
      <w:r w:rsidRPr="00A05AE4">
        <w:rPr>
          <w:b/>
          <w:i/>
          <w:lang w:val="vi-VN"/>
        </w:rPr>
        <w:t>.</w:t>
      </w:r>
      <w:r>
        <w:rPr>
          <w:b/>
          <w:i/>
        </w:rPr>
        <w:t>7</w:t>
      </w:r>
      <w:r w:rsidRPr="00A05AE4">
        <w:rPr>
          <w:b/>
          <w:i/>
          <w:lang w:val="vi-VN"/>
        </w:rPr>
        <w:t>.</w:t>
      </w:r>
      <w:r w:rsidRPr="00A05AE4">
        <w:rPr>
          <w:lang w:val="vi-VN"/>
        </w:rPr>
        <w:t xml:space="preserve"> Phân bố nhân lực NC&amp;PT theo khu vực hoạt động</w:t>
      </w:r>
      <w:bookmarkEnd w:id="27"/>
    </w:p>
    <w:p w:rsidR="00A50899" w:rsidRPr="00454A79" w:rsidRDefault="00A50899" w:rsidP="00A50899">
      <w:pPr>
        <w:pStyle w:val="111khcnvn"/>
        <w:spacing w:before="240"/>
        <w:rPr>
          <w:lang w:val="vi-VN"/>
        </w:rPr>
      </w:pPr>
      <w:r>
        <w:rPr>
          <w:rFonts w:asciiTheme="minorHAnsi" w:hAnsiTheme="minorHAnsi"/>
        </w:rPr>
        <w:lastRenderedPageBreak/>
        <w:t>1</w:t>
      </w:r>
      <w:r w:rsidRPr="00454A79">
        <w:rPr>
          <w:lang w:val="vi-VN"/>
        </w:rPr>
        <w:t>.2.2. Cán bộ nghiên cứu (tính theo đầu người)</w:t>
      </w:r>
      <w:bookmarkEnd w:id="28"/>
    </w:p>
    <w:p w:rsidR="00A50899" w:rsidRDefault="00A50899" w:rsidP="00A50899">
      <w:pPr>
        <w:pStyle w:val="bodyA0"/>
        <w:rPr>
          <w:spacing w:val="-2"/>
        </w:rPr>
      </w:pPr>
      <w:r>
        <w:t xml:space="preserve">Cán bộ nghiên cứu là những người tham gia hoạt động nghiên cứu khoa học và phát triển công nghệ có trình độ từ cao đẳng trở lên. Về hiện trạng cán bộ nghiên cứu năm 2013, theo cơ cấu tỷ lệ của vị trí hoạt động trong từng khu vực (Bảng </w:t>
      </w:r>
      <w:r w:rsidR="00894554">
        <w:rPr>
          <w:lang w:val="en-US"/>
        </w:rPr>
        <w:t>1</w:t>
      </w:r>
      <w:r>
        <w:t>.10) thì ở khu vực đại học, tỷ lệ CBNC trong tổng cán bộ nghiên cứu của cả nước</w:t>
      </w:r>
      <w:r>
        <w:rPr>
          <w:spacing w:val="-2"/>
        </w:rPr>
        <w:t xml:space="preserve"> là cao nhất, chiếm khoảng một nửa (49,2%), tiếp đó là khu vực viện nghiên cứu/trung tâm nghiên cứu (23,1%), khu vực doanh nghiệp cũng có tỷ lệ tương đối cao (14,4%).</w:t>
      </w:r>
    </w:p>
    <w:p w:rsidR="00A50899" w:rsidRDefault="00A50899" w:rsidP="00A50899">
      <w:pPr>
        <w:pStyle w:val="Bang2"/>
        <w:spacing w:before="200"/>
        <w:jc w:val="center"/>
      </w:pPr>
      <w:r>
        <w:rPr>
          <w:b/>
          <w:i/>
        </w:rPr>
        <w:t xml:space="preserve">Bảng </w:t>
      </w:r>
      <w:r>
        <w:rPr>
          <w:b/>
          <w:i/>
        </w:rPr>
        <w:t>1</w:t>
      </w:r>
      <w:r>
        <w:rPr>
          <w:b/>
          <w:i/>
        </w:rPr>
        <w:t xml:space="preserve">.10. </w:t>
      </w:r>
      <w:r>
        <w:t>Cán bộ nghiên cứu chia theo khu vực hoạt động</w:t>
      </w: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1917"/>
        <w:gridCol w:w="1915"/>
      </w:tblGrid>
      <w:tr w:rsidR="00A50899" w:rsidRPr="00764272" w:rsidTr="00A324B6">
        <w:trPr>
          <w:trHeight w:val="285"/>
          <w:jc w:val="center"/>
        </w:trPr>
        <w:tc>
          <w:tcPr>
            <w:tcW w:w="2867" w:type="pct"/>
            <w:vMerge w:val="restart"/>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764272" w:rsidRDefault="00A50899" w:rsidP="00A324B6">
            <w:pPr>
              <w:pStyle w:val="Bang2"/>
              <w:spacing w:after="40"/>
              <w:jc w:val="center"/>
              <w:rPr>
                <w:b/>
              </w:rPr>
            </w:pPr>
            <w:r w:rsidRPr="00764272">
              <w:rPr>
                <w:b/>
              </w:rPr>
              <w:t>Khu vực hoạt động</w:t>
            </w:r>
          </w:p>
        </w:tc>
        <w:tc>
          <w:tcPr>
            <w:tcW w:w="1067" w:type="pct"/>
            <w:vMerge w:val="restart"/>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764272" w:rsidRDefault="00A50899" w:rsidP="00A324B6">
            <w:pPr>
              <w:pStyle w:val="Bang2"/>
              <w:spacing w:after="40"/>
              <w:jc w:val="center"/>
              <w:rPr>
                <w:b/>
              </w:rPr>
            </w:pPr>
            <w:r w:rsidRPr="00764272">
              <w:rPr>
                <w:b/>
              </w:rPr>
              <w:t>Tổng số</w:t>
            </w:r>
          </w:p>
        </w:tc>
        <w:tc>
          <w:tcPr>
            <w:tcW w:w="1067" w:type="pct"/>
            <w:vMerge w:val="restart"/>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764272" w:rsidRDefault="00A50899" w:rsidP="00A324B6">
            <w:pPr>
              <w:pStyle w:val="Bang2"/>
              <w:spacing w:after="40"/>
              <w:jc w:val="center"/>
              <w:rPr>
                <w:b/>
              </w:rPr>
            </w:pPr>
            <w:r w:rsidRPr="00764272">
              <w:rPr>
                <w:b/>
              </w:rPr>
              <w:t>Tỷ lệ (%)</w:t>
            </w:r>
          </w:p>
        </w:tc>
      </w:tr>
      <w:tr w:rsidR="00A50899" w:rsidRPr="00764272" w:rsidTr="00A324B6">
        <w:trPr>
          <w:trHeight w:val="344"/>
          <w:jc w:val="center"/>
        </w:trPr>
        <w:tc>
          <w:tcPr>
            <w:tcW w:w="2867" w:type="pct"/>
            <w:vMerge/>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764272" w:rsidRDefault="00A50899" w:rsidP="00A324B6">
            <w:pPr>
              <w:pStyle w:val="Bang2"/>
              <w:spacing w:after="40"/>
              <w:jc w:val="center"/>
              <w:rPr>
                <w:rFonts w:cs="Arial"/>
                <w:b/>
              </w:rPr>
            </w:pPr>
          </w:p>
        </w:tc>
        <w:tc>
          <w:tcPr>
            <w:tcW w:w="1067" w:type="pct"/>
            <w:vMerge/>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764272" w:rsidRDefault="00A50899" w:rsidP="00A324B6">
            <w:pPr>
              <w:pStyle w:val="Bang2"/>
              <w:spacing w:after="40"/>
              <w:jc w:val="center"/>
              <w:rPr>
                <w:rFonts w:cs="Arial"/>
                <w:b/>
              </w:rPr>
            </w:pPr>
          </w:p>
        </w:tc>
        <w:tc>
          <w:tcPr>
            <w:tcW w:w="1067" w:type="pct"/>
            <w:vMerge/>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764272" w:rsidRDefault="00A50899" w:rsidP="00A324B6">
            <w:pPr>
              <w:pStyle w:val="Bang2"/>
              <w:spacing w:after="40"/>
              <w:jc w:val="center"/>
              <w:rPr>
                <w:rFonts w:cs="Arial"/>
                <w:b/>
              </w:rPr>
            </w:pPr>
          </w:p>
        </w:tc>
      </w:tr>
      <w:tr w:rsidR="00A50899" w:rsidRPr="003C482C" w:rsidTr="00A324B6">
        <w:trPr>
          <w:trHeight w:val="20"/>
          <w:jc w:val="center"/>
        </w:trPr>
        <w:tc>
          <w:tcPr>
            <w:tcW w:w="2867" w:type="pct"/>
            <w:tcBorders>
              <w:top w:val="single" w:sz="4" w:space="0" w:color="auto"/>
              <w:left w:val="single" w:sz="4" w:space="0" w:color="auto"/>
              <w:bottom w:val="single" w:sz="4" w:space="0" w:color="auto"/>
              <w:right w:val="single" w:sz="4" w:space="0" w:color="auto"/>
            </w:tcBorders>
            <w:vAlign w:val="center"/>
          </w:tcPr>
          <w:p w:rsidR="00A50899" w:rsidRPr="003C482C" w:rsidRDefault="00A50899" w:rsidP="00A324B6">
            <w:pPr>
              <w:pStyle w:val="Bang2"/>
              <w:spacing w:after="40"/>
              <w:rPr>
                <w:rFonts w:cs="Arial"/>
                <w:b/>
                <w:i/>
              </w:rPr>
            </w:pPr>
            <w:r w:rsidRPr="003C482C">
              <w:rPr>
                <w:b/>
                <w:i/>
              </w:rPr>
              <w:t>Tổng số cán bộ nghiên cứu</w:t>
            </w:r>
            <w:r>
              <w:rPr>
                <w:b/>
                <w:i/>
              </w:rPr>
              <w:t>,</w:t>
            </w:r>
          </w:p>
          <w:p w:rsidR="00A50899" w:rsidRPr="003C482C" w:rsidRDefault="00A50899" w:rsidP="00A324B6">
            <w:pPr>
              <w:pStyle w:val="Bang2"/>
              <w:spacing w:after="40"/>
              <w:rPr>
                <w:b/>
                <w:i/>
              </w:rPr>
            </w:pPr>
            <w:r>
              <w:rPr>
                <w:b/>
                <w:i/>
              </w:rPr>
              <w:t>t</w:t>
            </w:r>
            <w:r w:rsidRPr="003C482C">
              <w:rPr>
                <w:b/>
                <w:i/>
              </w:rPr>
              <w:t>rong đó:</w:t>
            </w:r>
          </w:p>
        </w:tc>
        <w:tc>
          <w:tcPr>
            <w:tcW w:w="1067" w:type="pct"/>
            <w:tcBorders>
              <w:top w:val="single" w:sz="4" w:space="0" w:color="auto"/>
              <w:left w:val="single" w:sz="4" w:space="0" w:color="auto"/>
              <w:bottom w:val="single" w:sz="4" w:space="0" w:color="auto"/>
              <w:right w:val="single" w:sz="4" w:space="0" w:color="auto"/>
            </w:tcBorders>
            <w:vAlign w:val="center"/>
          </w:tcPr>
          <w:p w:rsidR="00A50899" w:rsidRPr="003C482C" w:rsidRDefault="00A50899" w:rsidP="00A324B6">
            <w:pPr>
              <w:pStyle w:val="Bang2"/>
              <w:spacing w:after="40"/>
              <w:ind w:right="283"/>
              <w:jc w:val="right"/>
              <w:rPr>
                <w:b/>
                <w:i/>
              </w:rPr>
            </w:pPr>
            <w:r w:rsidRPr="003C482C">
              <w:rPr>
                <w:b/>
                <w:i/>
              </w:rPr>
              <w:t>128.997</w:t>
            </w:r>
          </w:p>
        </w:tc>
        <w:tc>
          <w:tcPr>
            <w:tcW w:w="1067" w:type="pct"/>
            <w:tcBorders>
              <w:top w:val="single" w:sz="4" w:space="0" w:color="auto"/>
              <w:left w:val="single" w:sz="4" w:space="0" w:color="auto"/>
              <w:bottom w:val="single" w:sz="4" w:space="0" w:color="auto"/>
              <w:right w:val="single" w:sz="4" w:space="0" w:color="auto"/>
            </w:tcBorders>
            <w:vAlign w:val="center"/>
          </w:tcPr>
          <w:p w:rsidR="00A50899" w:rsidRPr="003C482C" w:rsidRDefault="00A50899" w:rsidP="00A324B6">
            <w:pPr>
              <w:pStyle w:val="Bang2"/>
              <w:spacing w:after="40"/>
              <w:ind w:right="460"/>
              <w:jc w:val="right"/>
              <w:rPr>
                <w:rFonts w:cs="Arial"/>
                <w:b/>
                <w:i/>
                <w:color w:val="000000"/>
                <w:szCs w:val="20"/>
              </w:rPr>
            </w:pPr>
            <w:r w:rsidRPr="003C482C">
              <w:rPr>
                <w:rFonts w:cs="Arial"/>
                <w:b/>
                <w:i/>
                <w:color w:val="000000"/>
                <w:szCs w:val="20"/>
              </w:rPr>
              <w:t>100</w:t>
            </w:r>
          </w:p>
        </w:tc>
      </w:tr>
      <w:tr w:rsidR="00A50899" w:rsidTr="00A324B6">
        <w:trPr>
          <w:trHeight w:val="20"/>
          <w:jc w:val="center"/>
        </w:trPr>
        <w:tc>
          <w:tcPr>
            <w:tcW w:w="2867"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spacing w:after="40"/>
            </w:pPr>
            <w:r>
              <w:t>Các viện, trung tâm NC&amp;PT</w:t>
            </w:r>
          </w:p>
        </w:tc>
        <w:tc>
          <w:tcPr>
            <w:tcW w:w="1067"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spacing w:after="40"/>
              <w:ind w:right="283"/>
              <w:jc w:val="right"/>
            </w:pPr>
            <w:r>
              <w:t>29.820</w:t>
            </w:r>
          </w:p>
        </w:tc>
        <w:tc>
          <w:tcPr>
            <w:tcW w:w="1067"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spacing w:after="40"/>
              <w:ind w:right="460"/>
              <w:jc w:val="right"/>
              <w:rPr>
                <w:rFonts w:ascii="Calibri" w:hAnsi="Calibri"/>
                <w:color w:val="000000"/>
                <w:sz w:val="22"/>
              </w:rPr>
            </w:pPr>
            <w:r>
              <w:rPr>
                <w:rFonts w:ascii="Calibri" w:hAnsi="Calibri"/>
                <w:color w:val="000000"/>
                <w:sz w:val="22"/>
              </w:rPr>
              <w:t>23,1</w:t>
            </w:r>
          </w:p>
        </w:tc>
      </w:tr>
      <w:tr w:rsidR="00A50899" w:rsidTr="00A324B6">
        <w:trPr>
          <w:trHeight w:val="20"/>
          <w:jc w:val="center"/>
        </w:trPr>
        <w:tc>
          <w:tcPr>
            <w:tcW w:w="2867"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spacing w:after="40"/>
            </w:pPr>
            <w:r>
              <w:t>Trường đại học</w:t>
            </w:r>
          </w:p>
        </w:tc>
        <w:tc>
          <w:tcPr>
            <w:tcW w:w="1067"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spacing w:after="40"/>
              <w:ind w:right="283"/>
              <w:jc w:val="right"/>
            </w:pPr>
            <w:r>
              <w:t>63.435</w:t>
            </w:r>
          </w:p>
        </w:tc>
        <w:tc>
          <w:tcPr>
            <w:tcW w:w="1067"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spacing w:after="40"/>
              <w:ind w:right="460"/>
              <w:jc w:val="right"/>
              <w:rPr>
                <w:rFonts w:ascii="Calibri" w:hAnsi="Calibri"/>
                <w:color w:val="000000"/>
                <w:sz w:val="22"/>
              </w:rPr>
            </w:pPr>
            <w:r>
              <w:rPr>
                <w:rFonts w:ascii="Calibri" w:hAnsi="Calibri"/>
                <w:color w:val="000000"/>
                <w:sz w:val="22"/>
              </w:rPr>
              <w:t>49,2</w:t>
            </w:r>
          </w:p>
        </w:tc>
      </w:tr>
      <w:tr w:rsidR="00A50899" w:rsidTr="00A324B6">
        <w:trPr>
          <w:trHeight w:val="20"/>
          <w:jc w:val="center"/>
        </w:trPr>
        <w:tc>
          <w:tcPr>
            <w:tcW w:w="2867"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spacing w:after="40"/>
            </w:pPr>
            <w:r>
              <w:t xml:space="preserve">Cơ quan hành chính  </w:t>
            </w:r>
          </w:p>
        </w:tc>
        <w:tc>
          <w:tcPr>
            <w:tcW w:w="1067"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spacing w:after="40"/>
              <w:ind w:right="283"/>
              <w:jc w:val="right"/>
            </w:pPr>
            <w:r>
              <w:t>8.460</w:t>
            </w:r>
          </w:p>
        </w:tc>
        <w:tc>
          <w:tcPr>
            <w:tcW w:w="1067"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spacing w:after="40"/>
              <w:ind w:right="460"/>
              <w:jc w:val="right"/>
              <w:rPr>
                <w:rFonts w:ascii="Calibri" w:hAnsi="Calibri"/>
                <w:color w:val="000000"/>
                <w:sz w:val="22"/>
              </w:rPr>
            </w:pPr>
            <w:r>
              <w:rPr>
                <w:rFonts w:ascii="Calibri" w:hAnsi="Calibri"/>
                <w:color w:val="000000"/>
                <w:sz w:val="22"/>
              </w:rPr>
              <w:t>6,6</w:t>
            </w:r>
          </w:p>
        </w:tc>
      </w:tr>
      <w:tr w:rsidR="00A50899" w:rsidTr="00A324B6">
        <w:trPr>
          <w:trHeight w:val="20"/>
          <w:jc w:val="center"/>
        </w:trPr>
        <w:tc>
          <w:tcPr>
            <w:tcW w:w="2867"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spacing w:after="40"/>
            </w:pPr>
            <w:r>
              <w:t>Đơn vị sự nghiệp khác</w:t>
            </w:r>
          </w:p>
        </w:tc>
        <w:tc>
          <w:tcPr>
            <w:tcW w:w="1067"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spacing w:after="40"/>
              <w:ind w:right="283"/>
              <w:jc w:val="right"/>
            </w:pPr>
            <w:r>
              <w:t>7.495</w:t>
            </w:r>
          </w:p>
        </w:tc>
        <w:tc>
          <w:tcPr>
            <w:tcW w:w="1067"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spacing w:after="40"/>
              <w:ind w:right="460"/>
              <w:jc w:val="right"/>
              <w:rPr>
                <w:rFonts w:ascii="Calibri" w:hAnsi="Calibri"/>
                <w:color w:val="000000"/>
                <w:sz w:val="22"/>
              </w:rPr>
            </w:pPr>
            <w:r>
              <w:rPr>
                <w:rFonts w:ascii="Calibri" w:hAnsi="Calibri"/>
                <w:color w:val="000000"/>
                <w:sz w:val="22"/>
              </w:rPr>
              <w:t>5,8</w:t>
            </w:r>
          </w:p>
        </w:tc>
      </w:tr>
      <w:tr w:rsidR="00A50899" w:rsidTr="00A324B6">
        <w:trPr>
          <w:trHeight w:val="20"/>
          <w:jc w:val="center"/>
        </w:trPr>
        <w:tc>
          <w:tcPr>
            <w:tcW w:w="2867"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spacing w:after="40"/>
            </w:pPr>
            <w:r>
              <w:t>Doanh nghiệp</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spacing w:after="40"/>
              <w:ind w:right="283"/>
              <w:jc w:val="right"/>
            </w:pPr>
            <w:r>
              <w:t>18.553</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spacing w:after="40"/>
              <w:ind w:right="460"/>
              <w:jc w:val="right"/>
              <w:rPr>
                <w:rFonts w:ascii="Calibri" w:hAnsi="Calibri"/>
                <w:color w:val="000000"/>
                <w:sz w:val="22"/>
              </w:rPr>
            </w:pPr>
            <w:r>
              <w:rPr>
                <w:rFonts w:ascii="Calibri" w:hAnsi="Calibri"/>
                <w:color w:val="000000"/>
                <w:sz w:val="22"/>
              </w:rPr>
              <w:t>14,4</w:t>
            </w:r>
          </w:p>
        </w:tc>
      </w:tr>
      <w:tr w:rsidR="00A50899" w:rsidTr="00A324B6">
        <w:trPr>
          <w:trHeight w:val="20"/>
          <w:jc w:val="center"/>
        </w:trPr>
        <w:tc>
          <w:tcPr>
            <w:tcW w:w="2867"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spacing w:after="40"/>
            </w:pPr>
            <w:r>
              <w:t>Phi lợi nhuận</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spacing w:after="40"/>
              <w:ind w:right="283"/>
              <w:jc w:val="right"/>
            </w:pPr>
            <w:r>
              <w:t>1.234</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Default="00A50899" w:rsidP="00A324B6">
            <w:pPr>
              <w:pStyle w:val="Bang2"/>
              <w:spacing w:after="40"/>
              <w:ind w:right="460"/>
              <w:jc w:val="right"/>
              <w:rPr>
                <w:rFonts w:ascii="Calibri" w:hAnsi="Calibri"/>
                <w:color w:val="000000"/>
                <w:sz w:val="22"/>
              </w:rPr>
            </w:pPr>
            <w:r>
              <w:rPr>
                <w:rFonts w:ascii="Calibri" w:hAnsi="Calibri"/>
                <w:color w:val="000000"/>
                <w:sz w:val="22"/>
              </w:rPr>
              <w:t>1,0</w:t>
            </w:r>
          </w:p>
        </w:tc>
      </w:tr>
    </w:tbl>
    <w:p w:rsidR="00A50899" w:rsidRDefault="00A50899" w:rsidP="00A50899">
      <w:pPr>
        <w:pStyle w:val="nguon"/>
      </w:pPr>
      <w:r>
        <w:t>Nguồn: Tổng hợp từ Điều tra NC&amp;PT 2014 và Điều tra doanh nghiệp 2014.</w:t>
      </w:r>
    </w:p>
    <w:p w:rsidR="00A50899" w:rsidRPr="00842D77" w:rsidRDefault="00A50899" w:rsidP="00A50899">
      <w:pPr>
        <w:jc w:val="center"/>
      </w:pPr>
      <w:bookmarkStart w:id="29" w:name="_Toc453342467"/>
      <w:r w:rsidRPr="00842D77">
        <w:rPr>
          <w:noProof/>
        </w:rPr>
        <w:drawing>
          <wp:inline distT="0" distB="0" distL="0" distR="0" wp14:anchorId="2F5143B2" wp14:editId="5B9ED7A8">
            <wp:extent cx="4380865" cy="238188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t="6999"/>
                    <a:stretch>
                      <a:fillRect/>
                    </a:stretch>
                  </pic:blipFill>
                  <pic:spPr bwMode="auto">
                    <a:xfrm>
                      <a:off x="0" y="0"/>
                      <a:ext cx="4380865" cy="2381885"/>
                    </a:xfrm>
                    <a:prstGeom prst="rect">
                      <a:avLst/>
                    </a:prstGeom>
                    <a:noFill/>
                    <a:ln>
                      <a:noFill/>
                    </a:ln>
                  </pic:spPr>
                </pic:pic>
              </a:graphicData>
            </a:graphic>
          </wp:inline>
        </w:drawing>
      </w:r>
    </w:p>
    <w:p w:rsidR="00A50899" w:rsidRPr="004070DA" w:rsidRDefault="00A50899" w:rsidP="00A50899">
      <w:pPr>
        <w:pStyle w:val="khcnvntenhinh"/>
      </w:pPr>
      <w:bookmarkStart w:id="30" w:name="_Toc453341472"/>
      <w:r w:rsidRPr="003E1A9B">
        <w:rPr>
          <w:b/>
          <w:i/>
        </w:rPr>
        <w:t xml:space="preserve">Hình </w:t>
      </w:r>
      <w:r>
        <w:rPr>
          <w:b/>
          <w:i/>
        </w:rPr>
        <w:t>1</w:t>
      </w:r>
      <w:r w:rsidRPr="003E1A9B">
        <w:rPr>
          <w:b/>
          <w:i/>
        </w:rPr>
        <w:t>.</w:t>
      </w:r>
      <w:r>
        <w:rPr>
          <w:b/>
          <w:i/>
        </w:rPr>
        <w:t>8</w:t>
      </w:r>
      <w:r w:rsidRPr="003E1A9B">
        <w:rPr>
          <w:b/>
          <w:i/>
        </w:rPr>
        <w:t>.</w:t>
      </w:r>
      <w:r w:rsidRPr="004070DA">
        <w:t xml:space="preserve"> Cơ cấu tỷ lệ cán bộ nghiên cứu theo khu vực hoạt động</w:t>
      </w:r>
      <w:bookmarkEnd w:id="30"/>
    </w:p>
    <w:p w:rsidR="00A50899" w:rsidRDefault="00A50899" w:rsidP="00A50899">
      <w:pPr>
        <w:pStyle w:val="khcnvnTenBang"/>
        <w:rPr>
          <w:b/>
          <w:i/>
        </w:rPr>
      </w:pPr>
    </w:p>
    <w:p w:rsidR="00A50899" w:rsidRPr="004070DA" w:rsidRDefault="00A50899" w:rsidP="00A50899">
      <w:pPr>
        <w:pStyle w:val="khcnvnTenBang"/>
      </w:pPr>
      <w:r w:rsidRPr="003E1A9B">
        <w:rPr>
          <w:b/>
          <w:i/>
        </w:rPr>
        <w:t xml:space="preserve">Bảng </w:t>
      </w:r>
      <w:r>
        <w:rPr>
          <w:b/>
          <w:i/>
        </w:rPr>
        <w:t>1</w:t>
      </w:r>
      <w:r w:rsidRPr="003E1A9B">
        <w:rPr>
          <w:b/>
          <w:i/>
        </w:rPr>
        <w:t>.</w:t>
      </w:r>
      <w:r>
        <w:rPr>
          <w:b/>
          <w:i/>
        </w:rPr>
        <w:t>11</w:t>
      </w:r>
      <w:r w:rsidRPr="003E1A9B">
        <w:rPr>
          <w:b/>
          <w:i/>
        </w:rPr>
        <w:t xml:space="preserve">. </w:t>
      </w:r>
      <w:r w:rsidRPr="004070DA">
        <w:t>Cán bộ nghiên cứu chia theo trình độ và khu vực hoạt động</w:t>
      </w:r>
      <w:bookmarkEnd w:id="29"/>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00"/>
        <w:tblCellMar>
          <w:left w:w="43" w:type="dxa"/>
          <w:right w:w="43" w:type="dxa"/>
        </w:tblCellMar>
        <w:tblLook w:val="04A0" w:firstRow="1" w:lastRow="0" w:firstColumn="1" w:lastColumn="0" w:noHBand="0" w:noVBand="1"/>
      </w:tblPr>
      <w:tblGrid>
        <w:gridCol w:w="3354"/>
        <w:gridCol w:w="1160"/>
        <w:gridCol w:w="1205"/>
        <w:gridCol w:w="1205"/>
        <w:gridCol w:w="1203"/>
        <w:gridCol w:w="1227"/>
      </w:tblGrid>
      <w:tr w:rsidR="00A50899" w:rsidRPr="00C46EC3" w:rsidTr="00A324B6">
        <w:trPr>
          <w:trHeight w:val="20"/>
          <w:jc w:val="center"/>
        </w:trPr>
        <w:tc>
          <w:tcPr>
            <w:tcW w:w="1793" w:type="pct"/>
            <w:vMerge w:val="restart"/>
            <w:shd w:val="clear" w:color="auto" w:fill="66CCFF"/>
            <w:vAlign w:val="center"/>
          </w:tcPr>
          <w:p w:rsidR="00A50899" w:rsidRPr="00C46EC3" w:rsidRDefault="00A50899" w:rsidP="00A324B6">
            <w:pPr>
              <w:pStyle w:val="Bang2"/>
              <w:keepNext w:val="0"/>
              <w:widowControl w:val="0"/>
              <w:jc w:val="center"/>
              <w:rPr>
                <w:b/>
                <w:sz w:val="18"/>
                <w:szCs w:val="18"/>
              </w:rPr>
            </w:pPr>
            <w:r w:rsidRPr="00C46EC3">
              <w:rPr>
                <w:b/>
                <w:sz w:val="18"/>
                <w:szCs w:val="18"/>
              </w:rPr>
              <w:t>Khu vực hoạt động</w:t>
            </w:r>
          </w:p>
        </w:tc>
        <w:tc>
          <w:tcPr>
            <w:tcW w:w="620" w:type="pct"/>
            <w:vMerge w:val="restart"/>
            <w:shd w:val="clear" w:color="auto" w:fill="66CCFF"/>
            <w:vAlign w:val="center"/>
          </w:tcPr>
          <w:p w:rsidR="00A50899" w:rsidRPr="00C46EC3" w:rsidRDefault="00A50899" w:rsidP="00A324B6">
            <w:pPr>
              <w:pStyle w:val="Bang2"/>
              <w:keepNext w:val="0"/>
              <w:widowControl w:val="0"/>
              <w:jc w:val="center"/>
              <w:rPr>
                <w:b/>
                <w:sz w:val="18"/>
                <w:szCs w:val="18"/>
              </w:rPr>
            </w:pPr>
            <w:r w:rsidRPr="00C46EC3">
              <w:rPr>
                <w:b/>
                <w:sz w:val="18"/>
                <w:szCs w:val="18"/>
              </w:rPr>
              <w:t>Tổng số</w:t>
            </w:r>
          </w:p>
        </w:tc>
        <w:tc>
          <w:tcPr>
            <w:tcW w:w="2587" w:type="pct"/>
            <w:gridSpan w:val="4"/>
            <w:shd w:val="clear" w:color="auto" w:fill="66CCFF"/>
            <w:vAlign w:val="center"/>
          </w:tcPr>
          <w:p w:rsidR="00A50899" w:rsidRPr="00C46EC3" w:rsidRDefault="00A50899" w:rsidP="00A324B6">
            <w:pPr>
              <w:pStyle w:val="Bang2"/>
              <w:keepNext w:val="0"/>
              <w:widowControl w:val="0"/>
              <w:jc w:val="center"/>
              <w:rPr>
                <w:b/>
                <w:sz w:val="18"/>
                <w:szCs w:val="18"/>
              </w:rPr>
            </w:pPr>
            <w:r w:rsidRPr="00C46EC3">
              <w:rPr>
                <w:b/>
                <w:sz w:val="18"/>
                <w:szCs w:val="18"/>
              </w:rPr>
              <w:t>Chia theo trình độ chuyên môn</w:t>
            </w:r>
          </w:p>
        </w:tc>
      </w:tr>
      <w:tr w:rsidR="00A50899" w:rsidRPr="00C46EC3" w:rsidTr="00A324B6">
        <w:trPr>
          <w:trHeight w:val="20"/>
          <w:jc w:val="center"/>
        </w:trPr>
        <w:tc>
          <w:tcPr>
            <w:tcW w:w="1793" w:type="pct"/>
            <w:vMerge/>
            <w:shd w:val="clear" w:color="auto" w:fill="66CCFF"/>
            <w:vAlign w:val="center"/>
          </w:tcPr>
          <w:p w:rsidR="00A50899" w:rsidRPr="00C46EC3" w:rsidRDefault="00A50899" w:rsidP="00A324B6">
            <w:pPr>
              <w:pStyle w:val="Bang2"/>
              <w:keepNext w:val="0"/>
              <w:widowControl w:val="0"/>
              <w:jc w:val="center"/>
              <w:rPr>
                <w:b/>
                <w:sz w:val="18"/>
                <w:szCs w:val="18"/>
              </w:rPr>
            </w:pPr>
          </w:p>
        </w:tc>
        <w:tc>
          <w:tcPr>
            <w:tcW w:w="620" w:type="pct"/>
            <w:vMerge/>
            <w:shd w:val="clear" w:color="auto" w:fill="66CCFF"/>
            <w:vAlign w:val="center"/>
          </w:tcPr>
          <w:p w:rsidR="00A50899" w:rsidRPr="00C46EC3" w:rsidRDefault="00A50899" w:rsidP="00A324B6">
            <w:pPr>
              <w:pStyle w:val="Bang2"/>
              <w:keepNext w:val="0"/>
              <w:widowControl w:val="0"/>
              <w:jc w:val="center"/>
              <w:rPr>
                <w:b/>
                <w:sz w:val="18"/>
                <w:szCs w:val="18"/>
              </w:rPr>
            </w:pPr>
          </w:p>
        </w:tc>
        <w:tc>
          <w:tcPr>
            <w:tcW w:w="644" w:type="pct"/>
            <w:shd w:val="clear" w:color="auto" w:fill="66CCFF"/>
            <w:vAlign w:val="center"/>
          </w:tcPr>
          <w:p w:rsidR="00A50899" w:rsidRPr="00C46EC3" w:rsidRDefault="00A50899" w:rsidP="00A324B6">
            <w:pPr>
              <w:pStyle w:val="Bang2"/>
              <w:keepNext w:val="0"/>
              <w:widowControl w:val="0"/>
              <w:jc w:val="center"/>
              <w:rPr>
                <w:b/>
                <w:sz w:val="18"/>
                <w:szCs w:val="18"/>
              </w:rPr>
            </w:pPr>
            <w:r w:rsidRPr="00C46EC3">
              <w:rPr>
                <w:b/>
                <w:sz w:val="18"/>
                <w:szCs w:val="18"/>
              </w:rPr>
              <w:t>Tiến sĩ</w:t>
            </w:r>
          </w:p>
        </w:tc>
        <w:tc>
          <w:tcPr>
            <w:tcW w:w="644" w:type="pct"/>
            <w:shd w:val="clear" w:color="auto" w:fill="66CCFF"/>
            <w:vAlign w:val="center"/>
          </w:tcPr>
          <w:p w:rsidR="00A50899" w:rsidRPr="00C46EC3" w:rsidRDefault="00A50899" w:rsidP="00A324B6">
            <w:pPr>
              <w:pStyle w:val="Bang2"/>
              <w:keepNext w:val="0"/>
              <w:widowControl w:val="0"/>
              <w:jc w:val="center"/>
              <w:rPr>
                <w:b/>
                <w:sz w:val="18"/>
                <w:szCs w:val="18"/>
              </w:rPr>
            </w:pPr>
            <w:r w:rsidRPr="00C46EC3">
              <w:rPr>
                <w:b/>
                <w:sz w:val="18"/>
                <w:szCs w:val="18"/>
              </w:rPr>
              <w:t>Thạc sĩ</w:t>
            </w:r>
          </w:p>
        </w:tc>
        <w:tc>
          <w:tcPr>
            <w:tcW w:w="643" w:type="pct"/>
            <w:shd w:val="clear" w:color="auto" w:fill="66CCFF"/>
            <w:vAlign w:val="center"/>
          </w:tcPr>
          <w:p w:rsidR="00A50899" w:rsidRPr="00C46EC3" w:rsidRDefault="00A50899" w:rsidP="00A324B6">
            <w:pPr>
              <w:pStyle w:val="Bang2"/>
              <w:keepNext w:val="0"/>
              <w:widowControl w:val="0"/>
              <w:jc w:val="center"/>
              <w:rPr>
                <w:b/>
                <w:sz w:val="18"/>
                <w:szCs w:val="18"/>
              </w:rPr>
            </w:pPr>
            <w:r w:rsidRPr="00C46EC3">
              <w:rPr>
                <w:b/>
                <w:sz w:val="18"/>
                <w:szCs w:val="18"/>
              </w:rPr>
              <w:t>Đại học</w:t>
            </w:r>
          </w:p>
        </w:tc>
        <w:tc>
          <w:tcPr>
            <w:tcW w:w="656" w:type="pct"/>
            <w:shd w:val="clear" w:color="auto" w:fill="66CCFF"/>
            <w:vAlign w:val="center"/>
          </w:tcPr>
          <w:p w:rsidR="00A50899" w:rsidRPr="00C46EC3" w:rsidRDefault="00A50899" w:rsidP="00A324B6">
            <w:pPr>
              <w:pStyle w:val="Bang2"/>
              <w:keepNext w:val="0"/>
              <w:widowControl w:val="0"/>
              <w:jc w:val="center"/>
              <w:rPr>
                <w:b/>
                <w:sz w:val="18"/>
                <w:szCs w:val="18"/>
              </w:rPr>
            </w:pPr>
            <w:r w:rsidRPr="00C46EC3">
              <w:rPr>
                <w:b/>
                <w:sz w:val="18"/>
                <w:szCs w:val="18"/>
              </w:rPr>
              <w:t>Cao đẳng</w:t>
            </w:r>
          </w:p>
        </w:tc>
      </w:tr>
      <w:tr w:rsidR="00A50899" w:rsidRPr="00C46EC3" w:rsidTr="00A324B6">
        <w:trPr>
          <w:trHeight w:val="20"/>
          <w:jc w:val="center"/>
        </w:trPr>
        <w:tc>
          <w:tcPr>
            <w:tcW w:w="1793" w:type="pct"/>
            <w:shd w:val="clear" w:color="auto" w:fill="auto"/>
            <w:vAlign w:val="center"/>
          </w:tcPr>
          <w:p w:rsidR="00A50899" w:rsidRPr="00C46EC3" w:rsidRDefault="00A50899" w:rsidP="00A324B6">
            <w:pPr>
              <w:pStyle w:val="Bang2"/>
              <w:keepNext w:val="0"/>
              <w:widowControl w:val="0"/>
              <w:spacing w:before="80"/>
              <w:rPr>
                <w:b/>
                <w:i/>
                <w:sz w:val="18"/>
                <w:szCs w:val="18"/>
              </w:rPr>
            </w:pPr>
            <w:r w:rsidRPr="00C46EC3">
              <w:rPr>
                <w:b/>
                <w:i/>
                <w:sz w:val="18"/>
                <w:szCs w:val="18"/>
              </w:rPr>
              <w:t>Toàn bộ</w:t>
            </w:r>
          </w:p>
        </w:tc>
        <w:tc>
          <w:tcPr>
            <w:tcW w:w="620" w:type="pct"/>
            <w:shd w:val="clear" w:color="auto" w:fill="auto"/>
          </w:tcPr>
          <w:p w:rsidR="00A50899" w:rsidRPr="00C46EC3" w:rsidRDefault="00A50899" w:rsidP="00A324B6">
            <w:pPr>
              <w:pStyle w:val="Bang2"/>
              <w:spacing w:before="80"/>
              <w:jc w:val="right"/>
              <w:rPr>
                <w:b/>
                <w:i/>
                <w:sz w:val="18"/>
                <w:szCs w:val="18"/>
              </w:rPr>
            </w:pPr>
            <w:r w:rsidRPr="00C46EC3">
              <w:rPr>
                <w:b/>
                <w:i/>
                <w:sz w:val="18"/>
                <w:szCs w:val="18"/>
              </w:rPr>
              <w:t>128.997</w:t>
            </w:r>
          </w:p>
        </w:tc>
        <w:tc>
          <w:tcPr>
            <w:tcW w:w="644" w:type="pct"/>
            <w:shd w:val="clear" w:color="auto" w:fill="auto"/>
          </w:tcPr>
          <w:p w:rsidR="00A50899" w:rsidRPr="00C46EC3" w:rsidRDefault="00A50899" w:rsidP="00A324B6">
            <w:pPr>
              <w:pStyle w:val="Bang2"/>
              <w:spacing w:before="80"/>
              <w:jc w:val="right"/>
              <w:rPr>
                <w:b/>
                <w:i/>
                <w:sz w:val="18"/>
                <w:szCs w:val="18"/>
              </w:rPr>
            </w:pPr>
            <w:r w:rsidRPr="00C46EC3">
              <w:rPr>
                <w:b/>
                <w:i/>
                <w:sz w:val="18"/>
                <w:szCs w:val="18"/>
              </w:rPr>
              <w:t>12.261</w:t>
            </w:r>
          </w:p>
        </w:tc>
        <w:tc>
          <w:tcPr>
            <w:tcW w:w="644" w:type="pct"/>
            <w:shd w:val="clear" w:color="auto" w:fill="auto"/>
          </w:tcPr>
          <w:p w:rsidR="00A50899" w:rsidRPr="00C46EC3" w:rsidRDefault="00A50899" w:rsidP="00A324B6">
            <w:pPr>
              <w:pStyle w:val="Bang2"/>
              <w:spacing w:before="80"/>
              <w:jc w:val="right"/>
              <w:rPr>
                <w:b/>
                <w:i/>
                <w:sz w:val="18"/>
                <w:szCs w:val="18"/>
              </w:rPr>
            </w:pPr>
            <w:r w:rsidRPr="00C46EC3">
              <w:rPr>
                <w:b/>
                <w:i/>
                <w:sz w:val="18"/>
                <w:szCs w:val="18"/>
              </w:rPr>
              <w:t>45.223</w:t>
            </w:r>
          </w:p>
        </w:tc>
        <w:tc>
          <w:tcPr>
            <w:tcW w:w="643" w:type="pct"/>
            <w:shd w:val="clear" w:color="auto" w:fill="auto"/>
          </w:tcPr>
          <w:p w:rsidR="00A50899" w:rsidRPr="00C46EC3" w:rsidRDefault="00A50899" w:rsidP="00A324B6">
            <w:pPr>
              <w:pStyle w:val="Bang2"/>
              <w:spacing w:before="80"/>
              <w:jc w:val="right"/>
              <w:rPr>
                <w:b/>
                <w:i/>
                <w:sz w:val="18"/>
                <w:szCs w:val="18"/>
              </w:rPr>
            </w:pPr>
            <w:r w:rsidRPr="00C46EC3">
              <w:rPr>
                <w:b/>
                <w:i/>
                <w:sz w:val="18"/>
                <w:szCs w:val="18"/>
              </w:rPr>
              <w:t>66.684</w:t>
            </w:r>
          </w:p>
        </w:tc>
        <w:tc>
          <w:tcPr>
            <w:tcW w:w="656" w:type="pct"/>
            <w:shd w:val="clear" w:color="auto" w:fill="auto"/>
          </w:tcPr>
          <w:p w:rsidR="00A50899" w:rsidRPr="00C46EC3" w:rsidRDefault="00A50899" w:rsidP="00A324B6">
            <w:pPr>
              <w:pStyle w:val="Bang2"/>
              <w:spacing w:before="80"/>
              <w:jc w:val="right"/>
              <w:rPr>
                <w:b/>
                <w:i/>
                <w:sz w:val="18"/>
                <w:szCs w:val="18"/>
              </w:rPr>
            </w:pPr>
            <w:r w:rsidRPr="00C46EC3">
              <w:rPr>
                <w:b/>
                <w:i/>
                <w:sz w:val="18"/>
                <w:szCs w:val="18"/>
              </w:rPr>
              <w:t>4.827</w:t>
            </w:r>
          </w:p>
        </w:tc>
      </w:tr>
      <w:tr w:rsidR="00A50899" w:rsidRPr="00C46EC3" w:rsidTr="00A324B6">
        <w:trPr>
          <w:trHeight w:val="20"/>
          <w:jc w:val="center"/>
        </w:trPr>
        <w:tc>
          <w:tcPr>
            <w:tcW w:w="1793" w:type="pct"/>
            <w:shd w:val="clear" w:color="auto" w:fill="auto"/>
            <w:vAlign w:val="center"/>
          </w:tcPr>
          <w:p w:rsidR="00A50899" w:rsidRPr="00C46EC3" w:rsidRDefault="00A50899" w:rsidP="00A324B6">
            <w:pPr>
              <w:pStyle w:val="Bang2"/>
              <w:keepNext w:val="0"/>
              <w:widowControl w:val="0"/>
              <w:spacing w:before="80"/>
              <w:rPr>
                <w:sz w:val="18"/>
                <w:szCs w:val="18"/>
              </w:rPr>
            </w:pPr>
            <w:r w:rsidRPr="00C46EC3">
              <w:rPr>
                <w:sz w:val="18"/>
                <w:szCs w:val="18"/>
              </w:rPr>
              <w:t>Các viện, trung tâm NC&amp;PT</w:t>
            </w:r>
          </w:p>
        </w:tc>
        <w:tc>
          <w:tcPr>
            <w:tcW w:w="620" w:type="pct"/>
            <w:shd w:val="clear" w:color="auto" w:fill="auto"/>
          </w:tcPr>
          <w:p w:rsidR="00A50899" w:rsidRPr="00C46EC3" w:rsidRDefault="00A50899" w:rsidP="00A324B6">
            <w:pPr>
              <w:pStyle w:val="Bang2"/>
              <w:spacing w:before="80"/>
              <w:jc w:val="right"/>
              <w:rPr>
                <w:sz w:val="18"/>
                <w:szCs w:val="18"/>
              </w:rPr>
            </w:pPr>
            <w:r w:rsidRPr="00C46EC3">
              <w:rPr>
                <w:sz w:val="18"/>
                <w:szCs w:val="18"/>
              </w:rPr>
              <w:t>29.820</w:t>
            </w:r>
          </w:p>
        </w:tc>
        <w:tc>
          <w:tcPr>
            <w:tcW w:w="644" w:type="pct"/>
            <w:shd w:val="clear" w:color="auto" w:fill="auto"/>
          </w:tcPr>
          <w:p w:rsidR="00A50899" w:rsidRPr="00C46EC3" w:rsidRDefault="00A50899" w:rsidP="00A324B6">
            <w:pPr>
              <w:pStyle w:val="Bang2"/>
              <w:spacing w:before="80"/>
              <w:jc w:val="right"/>
              <w:rPr>
                <w:sz w:val="18"/>
                <w:szCs w:val="18"/>
              </w:rPr>
            </w:pPr>
            <w:r w:rsidRPr="00C46EC3">
              <w:rPr>
                <w:sz w:val="18"/>
                <w:szCs w:val="18"/>
              </w:rPr>
              <w:t>3.367</w:t>
            </w:r>
          </w:p>
        </w:tc>
        <w:tc>
          <w:tcPr>
            <w:tcW w:w="644" w:type="pct"/>
            <w:shd w:val="clear" w:color="auto" w:fill="auto"/>
          </w:tcPr>
          <w:p w:rsidR="00A50899" w:rsidRPr="00C46EC3" w:rsidRDefault="00A50899" w:rsidP="00A324B6">
            <w:pPr>
              <w:pStyle w:val="Bang2"/>
              <w:spacing w:before="80"/>
              <w:jc w:val="right"/>
              <w:rPr>
                <w:sz w:val="18"/>
                <w:szCs w:val="18"/>
              </w:rPr>
            </w:pPr>
            <w:r w:rsidRPr="00C46EC3">
              <w:rPr>
                <w:sz w:val="18"/>
                <w:szCs w:val="18"/>
              </w:rPr>
              <w:t>8.815</w:t>
            </w:r>
          </w:p>
        </w:tc>
        <w:tc>
          <w:tcPr>
            <w:tcW w:w="643" w:type="pct"/>
            <w:shd w:val="clear" w:color="auto" w:fill="auto"/>
          </w:tcPr>
          <w:p w:rsidR="00A50899" w:rsidRPr="00C46EC3" w:rsidRDefault="00A50899" w:rsidP="00A324B6">
            <w:pPr>
              <w:pStyle w:val="Bang2"/>
              <w:spacing w:before="80"/>
              <w:jc w:val="right"/>
              <w:rPr>
                <w:sz w:val="18"/>
                <w:szCs w:val="18"/>
              </w:rPr>
            </w:pPr>
            <w:r w:rsidRPr="00C46EC3">
              <w:rPr>
                <w:sz w:val="18"/>
                <w:szCs w:val="18"/>
              </w:rPr>
              <w:t>16.635</w:t>
            </w:r>
          </w:p>
        </w:tc>
        <w:tc>
          <w:tcPr>
            <w:tcW w:w="656" w:type="pct"/>
            <w:shd w:val="clear" w:color="auto" w:fill="auto"/>
          </w:tcPr>
          <w:p w:rsidR="00A50899" w:rsidRPr="00C46EC3" w:rsidRDefault="00A50899" w:rsidP="00A324B6">
            <w:pPr>
              <w:pStyle w:val="Bang2"/>
              <w:spacing w:before="80"/>
              <w:jc w:val="right"/>
              <w:rPr>
                <w:sz w:val="18"/>
                <w:szCs w:val="18"/>
              </w:rPr>
            </w:pPr>
            <w:r w:rsidRPr="00C46EC3">
              <w:rPr>
                <w:sz w:val="18"/>
                <w:szCs w:val="18"/>
              </w:rPr>
              <w:t>1.002</w:t>
            </w:r>
          </w:p>
        </w:tc>
      </w:tr>
      <w:tr w:rsidR="00A50899" w:rsidRPr="00C46EC3" w:rsidTr="00A324B6">
        <w:trPr>
          <w:trHeight w:val="20"/>
          <w:jc w:val="center"/>
        </w:trPr>
        <w:tc>
          <w:tcPr>
            <w:tcW w:w="1793" w:type="pct"/>
            <w:shd w:val="clear" w:color="auto" w:fill="auto"/>
            <w:vAlign w:val="center"/>
          </w:tcPr>
          <w:p w:rsidR="00A50899" w:rsidRPr="00C46EC3" w:rsidRDefault="00A50899" w:rsidP="00A324B6">
            <w:pPr>
              <w:pStyle w:val="Bang2"/>
              <w:keepNext w:val="0"/>
              <w:widowControl w:val="0"/>
              <w:spacing w:before="80"/>
              <w:rPr>
                <w:sz w:val="18"/>
                <w:szCs w:val="18"/>
              </w:rPr>
            </w:pPr>
            <w:r w:rsidRPr="00C46EC3">
              <w:rPr>
                <w:sz w:val="18"/>
                <w:szCs w:val="18"/>
              </w:rPr>
              <w:lastRenderedPageBreak/>
              <w:t>Trường đại học</w:t>
            </w:r>
          </w:p>
        </w:tc>
        <w:tc>
          <w:tcPr>
            <w:tcW w:w="620" w:type="pct"/>
            <w:shd w:val="clear" w:color="auto" w:fill="auto"/>
          </w:tcPr>
          <w:p w:rsidR="00A50899" w:rsidRPr="00C46EC3" w:rsidRDefault="00A50899" w:rsidP="00A324B6">
            <w:pPr>
              <w:pStyle w:val="Bang2"/>
              <w:spacing w:before="80"/>
              <w:jc w:val="right"/>
              <w:rPr>
                <w:sz w:val="18"/>
                <w:szCs w:val="18"/>
              </w:rPr>
            </w:pPr>
            <w:r w:rsidRPr="00C46EC3">
              <w:rPr>
                <w:sz w:val="18"/>
                <w:szCs w:val="18"/>
              </w:rPr>
              <w:t>63.435</w:t>
            </w:r>
          </w:p>
        </w:tc>
        <w:tc>
          <w:tcPr>
            <w:tcW w:w="644" w:type="pct"/>
            <w:shd w:val="clear" w:color="auto" w:fill="auto"/>
          </w:tcPr>
          <w:p w:rsidR="00A50899" w:rsidRPr="00C46EC3" w:rsidRDefault="00A50899" w:rsidP="00A324B6">
            <w:pPr>
              <w:pStyle w:val="Bang2"/>
              <w:spacing w:before="80"/>
              <w:jc w:val="right"/>
              <w:rPr>
                <w:sz w:val="18"/>
                <w:szCs w:val="18"/>
              </w:rPr>
            </w:pPr>
            <w:r w:rsidRPr="00C46EC3">
              <w:rPr>
                <w:sz w:val="18"/>
                <w:szCs w:val="18"/>
              </w:rPr>
              <w:t>7.959</w:t>
            </w:r>
          </w:p>
        </w:tc>
        <w:tc>
          <w:tcPr>
            <w:tcW w:w="644" w:type="pct"/>
            <w:shd w:val="clear" w:color="auto" w:fill="auto"/>
          </w:tcPr>
          <w:p w:rsidR="00A50899" w:rsidRPr="00C46EC3" w:rsidRDefault="00A50899" w:rsidP="00A324B6">
            <w:pPr>
              <w:pStyle w:val="Bang2"/>
              <w:spacing w:before="80"/>
              <w:jc w:val="right"/>
              <w:rPr>
                <w:sz w:val="18"/>
                <w:szCs w:val="18"/>
              </w:rPr>
            </w:pPr>
            <w:r w:rsidRPr="00C46EC3">
              <w:rPr>
                <w:sz w:val="18"/>
                <w:szCs w:val="18"/>
              </w:rPr>
              <w:t>31.582</w:t>
            </w:r>
          </w:p>
        </w:tc>
        <w:tc>
          <w:tcPr>
            <w:tcW w:w="643" w:type="pct"/>
            <w:shd w:val="clear" w:color="auto" w:fill="auto"/>
          </w:tcPr>
          <w:p w:rsidR="00A50899" w:rsidRPr="00C46EC3" w:rsidRDefault="00A50899" w:rsidP="00A324B6">
            <w:pPr>
              <w:pStyle w:val="Bang2"/>
              <w:spacing w:before="80"/>
              <w:jc w:val="right"/>
              <w:rPr>
                <w:sz w:val="18"/>
                <w:szCs w:val="18"/>
              </w:rPr>
            </w:pPr>
            <w:r w:rsidRPr="00C46EC3">
              <w:rPr>
                <w:sz w:val="18"/>
                <w:szCs w:val="18"/>
              </w:rPr>
              <w:t>22.819</w:t>
            </w:r>
          </w:p>
        </w:tc>
        <w:tc>
          <w:tcPr>
            <w:tcW w:w="656" w:type="pct"/>
            <w:shd w:val="clear" w:color="auto" w:fill="auto"/>
          </w:tcPr>
          <w:p w:rsidR="00A50899" w:rsidRPr="00C46EC3" w:rsidRDefault="00A50899" w:rsidP="00A324B6">
            <w:pPr>
              <w:pStyle w:val="Bang2"/>
              <w:spacing w:before="80"/>
              <w:jc w:val="right"/>
              <w:rPr>
                <w:sz w:val="18"/>
                <w:szCs w:val="18"/>
              </w:rPr>
            </w:pPr>
            <w:r w:rsidRPr="00C46EC3">
              <w:rPr>
                <w:sz w:val="18"/>
                <w:szCs w:val="18"/>
              </w:rPr>
              <w:t>1.075</w:t>
            </w:r>
          </w:p>
        </w:tc>
      </w:tr>
      <w:tr w:rsidR="00A50899" w:rsidRPr="00C46EC3" w:rsidTr="00A324B6">
        <w:trPr>
          <w:trHeight w:val="20"/>
          <w:jc w:val="center"/>
        </w:trPr>
        <w:tc>
          <w:tcPr>
            <w:tcW w:w="1793" w:type="pct"/>
            <w:shd w:val="clear" w:color="auto" w:fill="auto"/>
            <w:vAlign w:val="center"/>
          </w:tcPr>
          <w:p w:rsidR="00A50899" w:rsidRPr="00C46EC3" w:rsidRDefault="00A50899" w:rsidP="00A324B6">
            <w:pPr>
              <w:pStyle w:val="Bang2"/>
              <w:keepNext w:val="0"/>
              <w:widowControl w:val="0"/>
              <w:spacing w:before="80"/>
              <w:rPr>
                <w:sz w:val="18"/>
                <w:szCs w:val="18"/>
              </w:rPr>
            </w:pPr>
            <w:r w:rsidRPr="00C46EC3">
              <w:rPr>
                <w:sz w:val="18"/>
                <w:szCs w:val="18"/>
              </w:rPr>
              <w:t xml:space="preserve">Cơ quan hành chính </w:t>
            </w:r>
          </w:p>
        </w:tc>
        <w:tc>
          <w:tcPr>
            <w:tcW w:w="620" w:type="pct"/>
            <w:shd w:val="clear" w:color="auto" w:fill="auto"/>
          </w:tcPr>
          <w:p w:rsidR="00A50899" w:rsidRPr="00C46EC3" w:rsidRDefault="00A50899" w:rsidP="00A324B6">
            <w:pPr>
              <w:pStyle w:val="Bang2"/>
              <w:spacing w:before="80"/>
              <w:jc w:val="right"/>
              <w:rPr>
                <w:sz w:val="18"/>
                <w:szCs w:val="18"/>
              </w:rPr>
            </w:pPr>
            <w:r w:rsidRPr="00C46EC3">
              <w:rPr>
                <w:sz w:val="18"/>
                <w:szCs w:val="18"/>
              </w:rPr>
              <w:t>8.460</w:t>
            </w:r>
          </w:p>
        </w:tc>
        <w:tc>
          <w:tcPr>
            <w:tcW w:w="644" w:type="pct"/>
            <w:shd w:val="clear" w:color="auto" w:fill="auto"/>
          </w:tcPr>
          <w:p w:rsidR="00A50899" w:rsidRPr="00C46EC3" w:rsidRDefault="00A50899" w:rsidP="00A324B6">
            <w:pPr>
              <w:pStyle w:val="Bang2"/>
              <w:spacing w:before="80"/>
              <w:jc w:val="right"/>
              <w:rPr>
                <w:sz w:val="18"/>
                <w:szCs w:val="18"/>
              </w:rPr>
            </w:pPr>
            <w:r w:rsidRPr="00C46EC3">
              <w:rPr>
                <w:sz w:val="18"/>
                <w:szCs w:val="18"/>
              </w:rPr>
              <w:t>229</w:t>
            </w:r>
          </w:p>
        </w:tc>
        <w:tc>
          <w:tcPr>
            <w:tcW w:w="644" w:type="pct"/>
            <w:shd w:val="clear" w:color="auto" w:fill="auto"/>
          </w:tcPr>
          <w:p w:rsidR="00A50899" w:rsidRPr="00C46EC3" w:rsidRDefault="00A50899" w:rsidP="00A324B6">
            <w:pPr>
              <w:pStyle w:val="Bang2"/>
              <w:spacing w:before="80"/>
              <w:jc w:val="right"/>
              <w:rPr>
                <w:sz w:val="18"/>
                <w:szCs w:val="18"/>
              </w:rPr>
            </w:pPr>
            <w:r w:rsidRPr="00C46EC3">
              <w:rPr>
                <w:sz w:val="18"/>
                <w:szCs w:val="18"/>
              </w:rPr>
              <w:t>1.795</w:t>
            </w:r>
          </w:p>
        </w:tc>
        <w:tc>
          <w:tcPr>
            <w:tcW w:w="643" w:type="pct"/>
            <w:shd w:val="clear" w:color="auto" w:fill="auto"/>
          </w:tcPr>
          <w:p w:rsidR="00A50899" w:rsidRPr="00C46EC3" w:rsidRDefault="00A50899" w:rsidP="00A324B6">
            <w:pPr>
              <w:pStyle w:val="Bang2"/>
              <w:spacing w:before="80"/>
              <w:jc w:val="right"/>
              <w:rPr>
                <w:sz w:val="18"/>
                <w:szCs w:val="18"/>
              </w:rPr>
            </w:pPr>
            <w:r w:rsidRPr="00C46EC3">
              <w:rPr>
                <w:sz w:val="18"/>
                <w:szCs w:val="18"/>
              </w:rPr>
              <w:t>6.135</w:t>
            </w:r>
          </w:p>
        </w:tc>
        <w:tc>
          <w:tcPr>
            <w:tcW w:w="656" w:type="pct"/>
            <w:shd w:val="clear" w:color="auto" w:fill="auto"/>
          </w:tcPr>
          <w:p w:rsidR="00A50899" w:rsidRPr="00C46EC3" w:rsidRDefault="00A50899" w:rsidP="00A324B6">
            <w:pPr>
              <w:pStyle w:val="Bang2"/>
              <w:spacing w:before="80"/>
              <w:jc w:val="right"/>
              <w:rPr>
                <w:sz w:val="18"/>
                <w:szCs w:val="18"/>
              </w:rPr>
            </w:pPr>
            <w:r w:rsidRPr="00C46EC3">
              <w:rPr>
                <w:sz w:val="18"/>
                <w:szCs w:val="18"/>
              </w:rPr>
              <w:t>300</w:t>
            </w:r>
          </w:p>
        </w:tc>
      </w:tr>
      <w:tr w:rsidR="00A50899" w:rsidRPr="00C46EC3" w:rsidTr="00A324B6">
        <w:trPr>
          <w:trHeight w:val="20"/>
          <w:jc w:val="center"/>
        </w:trPr>
        <w:tc>
          <w:tcPr>
            <w:tcW w:w="1793" w:type="pct"/>
            <w:shd w:val="clear" w:color="auto" w:fill="auto"/>
            <w:vAlign w:val="center"/>
          </w:tcPr>
          <w:p w:rsidR="00A50899" w:rsidRPr="00C46EC3" w:rsidRDefault="00A50899" w:rsidP="00A324B6">
            <w:pPr>
              <w:pStyle w:val="Bang2"/>
              <w:keepNext w:val="0"/>
              <w:widowControl w:val="0"/>
              <w:spacing w:before="80"/>
              <w:rPr>
                <w:sz w:val="18"/>
                <w:szCs w:val="18"/>
              </w:rPr>
            </w:pPr>
            <w:r w:rsidRPr="00C46EC3">
              <w:rPr>
                <w:sz w:val="18"/>
                <w:szCs w:val="18"/>
              </w:rPr>
              <w:t>Đơn vị sự nghiệp</w:t>
            </w:r>
          </w:p>
        </w:tc>
        <w:tc>
          <w:tcPr>
            <w:tcW w:w="620" w:type="pct"/>
            <w:shd w:val="clear" w:color="auto" w:fill="auto"/>
          </w:tcPr>
          <w:p w:rsidR="00A50899" w:rsidRPr="00C46EC3" w:rsidRDefault="00A50899" w:rsidP="00A324B6">
            <w:pPr>
              <w:pStyle w:val="Bang2"/>
              <w:spacing w:before="80"/>
              <w:jc w:val="right"/>
              <w:rPr>
                <w:sz w:val="18"/>
                <w:szCs w:val="18"/>
              </w:rPr>
            </w:pPr>
            <w:r w:rsidRPr="00C46EC3">
              <w:rPr>
                <w:sz w:val="18"/>
                <w:szCs w:val="18"/>
              </w:rPr>
              <w:t>7.495</w:t>
            </w:r>
          </w:p>
        </w:tc>
        <w:tc>
          <w:tcPr>
            <w:tcW w:w="644" w:type="pct"/>
            <w:shd w:val="clear" w:color="auto" w:fill="auto"/>
          </w:tcPr>
          <w:p w:rsidR="00A50899" w:rsidRPr="00C46EC3" w:rsidRDefault="00A50899" w:rsidP="00A324B6">
            <w:pPr>
              <w:pStyle w:val="Bang2"/>
              <w:spacing w:before="80"/>
              <w:jc w:val="right"/>
              <w:rPr>
                <w:sz w:val="18"/>
                <w:szCs w:val="18"/>
              </w:rPr>
            </w:pPr>
            <w:r w:rsidRPr="00C46EC3">
              <w:rPr>
                <w:sz w:val="18"/>
                <w:szCs w:val="18"/>
              </w:rPr>
              <w:t>252</w:t>
            </w:r>
          </w:p>
        </w:tc>
        <w:tc>
          <w:tcPr>
            <w:tcW w:w="644" w:type="pct"/>
            <w:shd w:val="clear" w:color="auto" w:fill="auto"/>
          </w:tcPr>
          <w:p w:rsidR="00A50899" w:rsidRPr="00C46EC3" w:rsidRDefault="00A50899" w:rsidP="00A324B6">
            <w:pPr>
              <w:pStyle w:val="Bang2"/>
              <w:spacing w:before="80"/>
              <w:jc w:val="right"/>
              <w:rPr>
                <w:sz w:val="18"/>
                <w:szCs w:val="18"/>
              </w:rPr>
            </w:pPr>
            <w:r w:rsidRPr="00C46EC3">
              <w:rPr>
                <w:sz w:val="18"/>
                <w:szCs w:val="18"/>
              </w:rPr>
              <w:t>1.616</w:t>
            </w:r>
          </w:p>
        </w:tc>
        <w:tc>
          <w:tcPr>
            <w:tcW w:w="643" w:type="pct"/>
            <w:shd w:val="clear" w:color="auto" w:fill="auto"/>
          </w:tcPr>
          <w:p w:rsidR="00A50899" w:rsidRPr="00C46EC3" w:rsidRDefault="00A50899" w:rsidP="00A324B6">
            <w:pPr>
              <w:pStyle w:val="Bang2"/>
              <w:spacing w:before="80"/>
              <w:jc w:val="right"/>
              <w:rPr>
                <w:sz w:val="18"/>
                <w:szCs w:val="18"/>
              </w:rPr>
            </w:pPr>
            <w:r w:rsidRPr="00C46EC3">
              <w:rPr>
                <w:sz w:val="18"/>
                <w:szCs w:val="18"/>
              </w:rPr>
              <w:t>5.268</w:t>
            </w:r>
          </w:p>
        </w:tc>
        <w:tc>
          <w:tcPr>
            <w:tcW w:w="656" w:type="pct"/>
            <w:shd w:val="clear" w:color="auto" w:fill="auto"/>
          </w:tcPr>
          <w:p w:rsidR="00A50899" w:rsidRPr="00C46EC3" w:rsidRDefault="00A50899" w:rsidP="00A324B6">
            <w:pPr>
              <w:pStyle w:val="Bang2"/>
              <w:spacing w:before="80"/>
              <w:jc w:val="right"/>
              <w:rPr>
                <w:sz w:val="18"/>
                <w:szCs w:val="18"/>
              </w:rPr>
            </w:pPr>
            <w:r w:rsidRPr="00C46EC3">
              <w:rPr>
                <w:sz w:val="18"/>
                <w:szCs w:val="18"/>
              </w:rPr>
              <w:t>359</w:t>
            </w:r>
          </w:p>
        </w:tc>
      </w:tr>
      <w:tr w:rsidR="00A50899" w:rsidRPr="00C46EC3" w:rsidTr="00A324B6">
        <w:trPr>
          <w:trHeight w:val="20"/>
          <w:jc w:val="center"/>
        </w:trPr>
        <w:tc>
          <w:tcPr>
            <w:tcW w:w="1793" w:type="pct"/>
            <w:shd w:val="clear" w:color="auto" w:fill="auto"/>
            <w:vAlign w:val="center"/>
          </w:tcPr>
          <w:p w:rsidR="00A50899" w:rsidRPr="00C46EC3" w:rsidRDefault="00A50899" w:rsidP="00A324B6">
            <w:pPr>
              <w:pStyle w:val="Bang2"/>
              <w:keepNext w:val="0"/>
              <w:widowControl w:val="0"/>
              <w:spacing w:before="80"/>
              <w:rPr>
                <w:sz w:val="18"/>
                <w:szCs w:val="18"/>
              </w:rPr>
            </w:pPr>
            <w:r w:rsidRPr="00C46EC3">
              <w:rPr>
                <w:sz w:val="18"/>
                <w:szCs w:val="18"/>
              </w:rPr>
              <w:t>Doanh nghiệp</w:t>
            </w:r>
          </w:p>
        </w:tc>
        <w:tc>
          <w:tcPr>
            <w:tcW w:w="620" w:type="pct"/>
            <w:shd w:val="clear" w:color="auto" w:fill="auto"/>
          </w:tcPr>
          <w:p w:rsidR="00A50899" w:rsidRPr="00C46EC3" w:rsidRDefault="00A50899" w:rsidP="00A324B6">
            <w:pPr>
              <w:pStyle w:val="Bang2"/>
              <w:spacing w:before="80"/>
              <w:jc w:val="right"/>
              <w:rPr>
                <w:sz w:val="18"/>
                <w:szCs w:val="18"/>
              </w:rPr>
            </w:pPr>
            <w:r w:rsidRPr="00C46EC3">
              <w:rPr>
                <w:sz w:val="18"/>
                <w:szCs w:val="18"/>
              </w:rPr>
              <w:t>18.553</w:t>
            </w:r>
          </w:p>
        </w:tc>
        <w:tc>
          <w:tcPr>
            <w:tcW w:w="644" w:type="pct"/>
            <w:shd w:val="clear" w:color="auto" w:fill="auto"/>
          </w:tcPr>
          <w:p w:rsidR="00A50899" w:rsidRPr="00C46EC3" w:rsidRDefault="00A50899" w:rsidP="00A324B6">
            <w:pPr>
              <w:pStyle w:val="Bang2"/>
              <w:spacing w:before="80"/>
              <w:jc w:val="right"/>
              <w:rPr>
                <w:sz w:val="18"/>
                <w:szCs w:val="18"/>
              </w:rPr>
            </w:pPr>
            <w:r w:rsidRPr="00C46EC3">
              <w:rPr>
                <w:sz w:val="18"/>
                <w:szCs w:val="18"/>
              </w:rPr>
              <w:t>185</w:t>
            </w:r>
          </w:p>
        </w:tc>
        <w:tc>
          <w:tcPr>
            <w:tcW w:w="644" w:type="pct"/>
            <w:shd w:val="clear" w:color="auto" w:fill="auto"/>
          </w:tcPr>
          <w:p w:rsidR="00A50899" w:rsidRPr="00C46EC3" w:rsidRDefault="00A50899" w:rsidP="00A324B6">
            <w:pPr>
              <w:pStyle w:val="Bang2"/>
              <w:spacing w:before="80"/>
              <w:jc w:val="right"/>
              <w:rPr>
                <w:sz w:val="18"/>
                <w:szCs w:val="18"/>
              </w:rPr>
            </w:pPr>
            <w:r w:rsidRPr="00C46EC3">
              <w:rPr>
                <w:sz w:val="18"/>
                <w:szCs w:val="18"/>
              </w:rPr>
              <w:t>1.154</w:t>
            </w:r>
          </w:p>
        </w:tc>
        <w:tc>
          <w:tcPr>
            <w:tcW w:w="643" w:type="pct"/>
            <w:shd w:val="clear" w:color="auto" w:fill="auto"/>
          </w:tcPr>
          <w:p w:rsidR="00A50899" w:rsidRPr="00C46EC3" w:rsidRDefault="00A50899" w:rsidP="00A324B6">
            <w:pPr>
              <w:pStyle w:val="Bang2"/>
              <w:spacing w:before="80"/>
              <w:jc w:val="right"/>
              <w:rPr>
                <w:sz w:val="18"/>
                <w:szCs w:val="18"/>
              </w:rPr>
            </w:pPr>
            <w:r w:rsidRPr="00C46EC3">
              <w:rPr>
                <w:sz w:val="18"/>
                <w:szCs w:val="18"/>
              </w:rPr>
              <w:t>15.175</w:t>
            </w:r>
          </w:p>
        </w:tc>
        <w:tc>
          <w:tcPr>
            <w:tcW w:w="656" w:type="pct"/>
            <w:shd w:val="clear" w:color="auto" w:fill="auto"/>
          </w:tcPr>
          <w:p w:rsidR="00A50899" w:rsidRPr="00C46EC3" w:rsidRDefault="00A50899" w:rsidP="00A324B6">
            <w:pPr>
              <w:pStyle w:val="Bang2"/>
              <w:spacing w:before="80"/>
              <w:jc w:val="right"/>
              <w:rPr>
                <w:sz w:val="18"/>
                <w:szCs w:val="18"/>
              </w:rPr>
            </w:pPr>
            <w:r w:rsidRPr="00C46EC3">
              <w:rPr>
                <w:sz w:val="18"/>
                <w:szCs w:val="18"/>
              </w:rPr>
              <w:t>2.038</w:t>
            </w:r>
          </w:p>
        </w:tc>
      </w:tr>
      <w:tr w:rsidR="00A50899" w:rsidRPr="00C46EC3" w:rsidTr="00A324B6">
        <w:trPr>
          <w:trHeight w:val="20"/>
          <w:jc w:val="center"/>
        </w:trPr>
        <w:tc>
          <w:tcPr>
            <w:tcW w:w="1793" w:type="pct"/>
            <w:shd w:val="clear" w:color="auto" w:fill="auto"/>
            <w:vAlign w:val="center"/>
          </w:tcPr>
          <w:p w:rsidR="00A50899" w:rsidRPr="00C46EC3" w:rsidRDefault="00A50899" w:rsidP="00A324B6">
            <w:pPr>
              <w:pStyle w:val="Bang2"/>
              <w:keepNext w:val="0"/>
              <w:widowControl w:val="0"/>
              <w:spacing w:before="80"/>
              <w:rPr>
                <w:sz w:val="18"/>
                <w:szCs w:val="18"/>
              </w:rPr>
            </w:pPr>
            <w:r w:rsidRPr="00C46EC3">
              <w:rPr>
                <w:sz w:val="18"/>
                <w:szCs w:val="18"/>
              </w:rPr>
              <w:t>Phi lợi nhuận</w:t>
            </w:r>
          </w:p>
        </w:tc>
        <w:tc>
          <w:tcPr>
            <w:tcW w:w="620" w:type="pct"/>
            <w:shd w:val="clear" w:color="auto" w:fill="auto"/>
          </w:tcPr>
          <w:p w:rsidR="00A50899" w:rsidRPr="00C46EC3" w:rsidRDefault="00A50899" w:rsidP="00A324B6">
            <w:pPr>
              <w:pStyle w:val="Bang2"/>
              <w:spacing w:before="80"/>
              <w:jc w:val="right"/>
              <w:rPr>
                <w:sz w:val="18"/>
                <w:szCs w:val="18"/>
              </w:rPr>
            </w:pPr>
            <w:r w:rsidRPr="00C46EC3">
              <w:rPr>
                <w:sz w:val="18"/>
                <w:szCs w:val="18"/>
              </w:rPr>
              <w:t>1.234</w:t>
            </w:r>
          </w:p>
        </w:tc>
        <w:tc>
          <w:tcPr>
            <w:tcW w:w="644" w:type="pct"/>
            <w:shd w:val="clear" w:color="auto" w:fill="auto"/>
          </w:tcPr>
          <w:p w:rsidR="00A50899" w:rsidRPr="00C46EC3" w:rsidRDefault="00A50899" w:rsidP="00A324B6">
            <w:pPr>
              <w:pStyle w:val="Bang2"/>
              <w:spacing w:before="80"/>
              <w:jc w:val="right"/>
              <w:rPr>
                <w:sz w:val="18"/>
                <w:szCs w:val="18"/>
              </w:rPr>
            </w:pPr>
            <w:r w:rsidRPr="00C46EC3">
              <w:rPr>
                <w:sz w:val="18"/>
                <w:szCs w:val="18"/>
              </w:rPr>
              <w:t>269</w:t>
            </w:r>
          </w:p>
        </w:tc>
        <w:tc>
          <w:tcPr>
            <w:tcW w:w="644" w:type="pct"/>
            <w:shd w:val="clear" w:color="auto" w:fill="auto"/>
          </w:tcPr>
          <w:p w:rsidR="00A50899" w:rsidRPr="00C46EC3" w:rsidRDefault="00A50899" w:rsidP="00A324B6">
            <w:pPr>
              <w:pStyle w:val="Bang2"/>
              <w:spacing w:before="80"/>
              <w:jc w:val="right"/>
              <w:rPr>
                <w:sz w:val="18"/>
                <w:szCs w:val="18"/>
              </w:rPr>
            </w:pPr>
            <w:r w:rsidRPr="00C46EC3">
              <w:rPr>
                <w:sz w:val="18"/>
                <w:szCs w:val="18"/>
              </w:rPr>
              <w:t>260</w:t>
            </w:r>
          </w:p>
        </w:tc>
        <w:tc>
          <w:tcPr>
            <w:tcW w:w="643" w:type="pct"/>
            <w:shd w:val="clear" w:color="auto" w:fill="auto"/>
          </w:tcPr>
          <w:p w:rsidR="00A50899" w:rsidRPr="00C46EC3" w:rsidRDefault="00A50899" w:rsidP="00A324B6">
            <w:pPr>
              <w:pStyle w:val="Bang2"/>
              <w:spacing w:before="80"/>
              <w:jc w:val="right"/>
              <w:rPr>
                <w:sz w:val="18"/>
                <w:szCs w:val="18"/>
              </w:rPr>
            </w:pPr>
            <w:r w:rsidRPr="00C46EC3">
              <w:rPr>
                <w:sz w:val="18"/>
                <w:szCs w:val="18"/>
              </w:rPr>
              <w:t>652</w:t>
            </w:r>
          </w:p>
        </w:tc>
        <w:tc>
          <w:tcPr>
            <w:tcW w:w="656" w:type="pct"/>
            <w:shd w:val="clear" w:color="auto" w:fill="auto"/>
          </w:tcPr>
          <w:p w:rsidR="00A50899" w:rsidRPr="00C46EC3" w:rsidRDefault="00A50899" w:rsidP="00A324B6">
            <w:pPr>
              <w:pStyle w:val="Bang2"/>
              <w:spacing w:before="80"/>
              <w:jc w:val="right"/>
              <w:rPr>
                <w:sz w:val="18"/>
                <w:szCs w:val="18"/>
              </w:rPr>
            </w:pPr>
            <w:r w:rsidRPr="00C46EC3">
              <w:rPr>
                <w:sz w:val="18"/>
                <w:szCs w:val="18"/>
              </w:rPr>
              <w:t>53</w:t>
            </w:r>
          </w:p>
        </w:tc>
      </w:tr>
    </w:tbl>
    <w:p w:rsidR="00A50899" w:rsidRPr="004070DA" w:rsidRDefault="00A50899" w:rsidP="00A50899">
      <w:pPr>
        <w:pStyle w:val="nguon"/>
      </w:pPr>
      <w:r>
        <w:t>Nguồn: Tổng hợp từ Điều tra NC&amp;PT 2014 và Điều tra doanh nghiệp 2014.</w:t>
      </w:r>
      <w:r w:rsidRPr="004070DA">
        <w:tab/>
      </w:r>
    </w:p>
    <w:p w:rsidR="00A50899" w:rsidRPr="00454A79" w:rsidRDefault="00A50899" w:rsidP="00A50899">
      <w:pPr>
        <w:pStyle w:val="bodyA0"/>
        <w:spacing w:before="0" w:line="283" w:lineRule="auto"/>
        <w:rPr>
          <w:spacing w:val="-6"/>
          <w:lang w:val="vi-VN"/>
        </w:rPr>
      </w:pPr>
      <w:r w:rsidRPr="00454A79">
        <w:rPr>
          <w:spacing w:val="-6"/>
          <w:lang w:val="vi-VN"/>
        </w:rPr>
        <w:t xml:space="preserve">Các lĩnh vực khoa học kỹ thuật và công nghệ có số lượng cán bộ nghiên cứu lớn nhất, chiếm 36% tổng số cán bộ nghiên cứu, tiếp theo là lĩnh vực khoa học xã hội với 26,3%. Các lĩnh vực khoa học nông nghiệp và khoa học </w:t>
      </w:r>
      <w:r w:rsidRPr="00454A79">
        <w:rPr>
          <w:lang w:val="vi-VN"/>
        </w:rPr>
        <w:t xml:space="preserve">tự nhiên có tỷ lệ lần lượt là 11,7% và 10,8% (Bảng </w:t>
      </w:r>
      <w:r>
        <w:rPr>
          <w:lang w:val="en-US"/>
        </w:rPr>
        <w:t>1</w:t>
      </w:r>
      <w:r w:rsidRPr="00454A79">
        <w:rPr>
          <w:lang w:val="vi-VN"/>
        </w:rPr>
        <w:t xml:space="preserve">.12, Hình </w:t>
      </w:r>
      <w:r>
        <w:rPr>
          <w:lang w:val="en-US"/>
        </w:rPr>
        <w:t>1</w:t>
      </w:r>
      <w:r w:rsidRPr="00454A79">
        <w:rPr>
          <w:lang w:val="vi-VN"/>
        </w:rPr>
        <w:t xml:space="preserve">.9). Điều này phản ánh khá hợp lý tình hình của khu vực doanh nghiệp, đó là hoạt động NC&amp;PT chủ yếu tập trung vào lĩnh vực khoa học kỹ thuật và công nghệ (Hình </w:t>
      </w:r>
      <w:r>
        <w:rPr>
          <w:lang w:val="en-US"/>
        </w:rPr>
        <w:t>1</w:t>
      </w:r>
      <w:r w:rsidRPr="00454A79">
        <w:rPr>
          <w:lang w:val="vi-VN"/>
        </w:rPr>
        <w:t>.9).</w:t>
      </w:r>
    </w:p>
    <w:p w:rsidR="00A50899" w:rsidRPr="00454A79" w:rsidRDefault="00A50899" w:rsidP="00A50899">
      <w:pPr>
        <w:pStyle w:val="khcnvnTenBang"/>
        <w:rPr>
          <w:lang w:val="vi-VN"/>
        </w:rPr>
      </w:pPr>
      <w:bookmarkStart w:id="31" w:name="_Toc453342468"/>
      <w:r w:rsidRPr="00454A79">
        <w:rPr>
          <w:b/>
          <w:i/>
          <w:lang w:val="vi-VN"/>
        </w:rPr>
        <w:t xml:space="preserve">Bảng </w:t>
      </w:r>
      <w:r>
        <w:rPr>
          <w:b/>
          <w:i/>
        </w:rPr>
        <w:t>1</w:t>
      </w:r>
      <w:r w:rsidRPr="00454A79">
        <w:rPr>
          <w:b/>
          <w:i/>
          <w:lang w:val="vi-VN"/>
        </w:rPr>
        <w:t>.12.</w:t>
      </w:r>
      <w:r w:rsidRPr="00454A79">
        <w:rPr>
          <w:lang w:val="vi-VN"/>
        </w:rPr>
        <w:t xml:space="preserve"> Cán bộ nghiên cứu theo lĩnh vực KH&amp;CN </w:t>
      </w:r>
      <w:bookmarkEnd w:id="31"/>
    </w:p>
    <w:tbl>
      <w:tblPr>
        <w:tblW w:w="5000" w:type="pct"/>
        <w:jc w:val="center"/>
        <w:tblLook w:val="04A0" w:firstRow="1" w:lastRow="0" w:firstColumn="1" w:lastColumn="0" w:noHBand="0" w:noVBand="1"/>
      </w:tblPr>
      <w:tblGrid>
        <w:gridCol w:w="2505"/>
        <w:gridCol w:w="1167"/>
        <w:gridCol w:w="974"/>
        <w:gridCol w:w="1015"/>
        <w:gridCol w:w="920"/>
        <w:gridCol w:w="920"/>
        <w:gridCol w:w="920"/>
        <w:gridCol w:w="929"/>
      </w:tblGrid>
      <w:tr w:rsidR="00A50899" w:rsidTr="00A324B6">
        <w:trPr>
          <w:trHeight w:val="419"/>
          <w:jc w:val="center"/>
        </w:trPr>
        <w:tc>
          <w:tcPr>
            <w:tcW w:w="1339" w:type="pct"/>
            <w:vMerge w:val="restart"/>
            <w:tcBorders>
              <w:top w:val="single" w:sz="4" w:space="0" w:color="000000"/>
              <w:left w:val="single" w:sz="4" w:space="0" w:color="000000"/>
              <w:bottom w:val="single" w:sz="4" w:space="0" w:color="000000"/>
              <w:right w:val="single" w:sz="4" w:space="0" w:color="000000"/>
            </w:tcBorders>
            <w:shd w:val="clear" w:color="auto" w:fill="66CCFF"/>
            <w:vAlign w:val="center"/>
          </w:tcPr>
          <w:p w:rsidR="00A50899" w:rsidRDefault="00A50899" w:rsidP="00A324B6">
            <w:pPr>
              <w:pStyle w:val="Bang2"/>
              <w:spacing w:before="80" w:after="80"/>
              <w:jc w:val="center"/>
              <w:rPr>
                <w:b/>
                <w:sz w:val="18"/>
                <w:szCs w:val="18"/>
              </w:rPr>
            </w:pPr>
            <w:r>
              <w:rPr>
                <w:b/>
                <w:sz w:val="18"/>
                <w:szCs w:val="18"/>
              </w:rPr>
              <w:t>Lĩnh vực</w:t>
            </w:r>
          </w:p>
        </w:tc>
        <w:tc>
          <w:tcPr>
            <w:tcW w:w="624" w:type="pct"/>
            <w:vMerge w:val="restart"/>
            <w:tcBorders>
              <w:top w:val="single" w:sz="4" w:space="0" w:color="000000"/>
              <w:left w:val="single" w:sz="4" w:space="0" w:color="000000"/>
              <w:bottom w:val="single" w:sz="4" w:space="0" w:color="000000"/>
              <w:right w:val="single" w:sz="4" w:space="0" w:color="000000"/>
            </w:tcBorders>
            <w:shd w:val="clear" w:color="auto" w:fill="66CCFF"/>
            <w:vAlign w:val="center"/>
          </w:tcPr>
          <w:p w:rsidR="00A50899" w:rsidRDefault="00A50899" w:rsidP="00A324B6">
            <w:pPr>
              <w:pStyle w:val="Bang2"/>
              <w:spacing w:before="80" w:after="80"/>
              <w:jc w:val="center"/>
              <w:rPr>
                <w:b/>
                <w:sz w:val="18"/>
                <w:szCs w:val="18"/>
              </w:rPr>
            </w:pPr>
            <w:r>
              <w:rPr>
                <w:b/>
                <w:sz w:val="18"/>
                <w:szCs w:val="18"/>
              </w:rPr>
              <w:t>Tổng số</w:t>
            </w:r>
          </w:p>
        </w:tc>
        <w:tc>
          <w:tcPr>
            <w:tcW w:w="3037" w:type="pct"/>
            <w:gridSpan w:val="6"/>
            <w:tcBorders>
              <w:top w:val="single" w:sz="4" w:space="0" w:color="000000"/>
              <w:left w:val="single" w:sz="4" w:space="0" w:color="000000"/>
              <w:bottom w:val="single" w:sz="4" w:space="0" w:color="000000"/>
              <w:right w:val="single" w:sz="4" w:space="0" w:color="000000"/>
            </w:tcBorders>
            <w:shd w:val="clear" w:color="auto" w:fill="66CCFF"/>
            <w:vAlign w:val="center"/>
          </w:tcPr>
          <w:p w:rsidR="00A50899" w:rsidRDefault="00A50899" w:rsidP="00A324B6">
            <w:pPr>
              <w:pStyle w:val="Bang2"/>
              <w:spacing w:before="80" w:after="80"/>
              <w:jc w:val="center"/>
              <w:rPr>
                <w:b/>
                <w:sz w:val="18"/>
                <w:szCs w:val="18"/>
              </w:rPr>
            </w:pPr>
            <w:r>
              <w:rPr>
                <w:b/>
                <w:sz w:val="18"/>
                <w:szCs w:val="18"/>
              </w:rPr>
              <w:t>Khu vực</w:t>
            </w:r>
          </w:p>
        </w:tc>
      </w:tr>
      <w:tr w:rsidR="00A50899" w:rsidTr="00A324B6">
        <w:trPr>
          <w:trHeight w:val="187"/>
          <w:jc w:val="center"/>
        </w:trPr>
        <w:tc>
          <w:tcPr>
            <w:tcW w:w="1339" w:type="pct"/>
            <w:vMerge/>
            <w:tcBorders>
              <w:top w:val="single" w:sz="4" w:space="0" w:color="000000"/>
              <w:left w:val="single" w:sz="4" w:space="0" w:color="000000"/>
              <w:bottom w:val="single" w:sz="4" w:space="0" w:color="000000"/>
              <w:right w:val="single" w:sz="4" w:space="0" w:color="000000"/>
            </w:tcBorders>
            <w:shd w:val="clear" w:color="auto" w:fill="66CCFF"/>
            <w:vAlign w:val="center"/>
          </w:tcPr>
          <w:p w:rsidR="00A50899" w:rsidRDefault="00A50899" w:rsidP="00A324B6">
            <w:pPr>
              <w:spacing w:before="80" w:after="80"/>
              <w:rPr>
                <w:rFonts w:ascii="Arial" w:hAnsi="Arial"/>
                <w:b/>
                <w:bCs/>
                <w:iCs/>
                <w:sz w:val="18"/>
                <w:szCs w:val="18"/>
              </w:rPr>
            </w:pPr>
          </w:p>
        </w:tc>
        <w:tc>
          <w:tcPr>
            <w:tcW w:w="624" w:type="pct"/>
            <w:vMerge/>
            <w:tcBorders>
              <w:top w:val="single" w:sz="4" w:space="0" w:color="000000"/>
              <w:left w:val="single" w:sz="4" w:space="0" w:color="000000"/>
              <w:bottom w:val="single" w:sz="4" w:space="0" w:color="000000"/>
              <w:right w:val="single" w:sz="4" w:space="0" w:color="000000"/>
            </w:tcBorders>
            <w:shd w:val="clear" w:color="auto" w:fill="66CCFF"/>
            <w:vAlign w:val="center"/>
          </w:tcPr>
          <w:p w:rsidR="00A50899" w:rsidRDefault="00A50899" w:rsidP="00A324B6">
            <w:pPr>
              <w:spacing w:before="80" w:after="80"/>
              <w:rPr>
                <w:rFonts w:ascii="Arial" w:hAnsi="Arial"/>
                <w:b/>
                <w:bCs/>
                <w:iCs/>
                <w:sz w:val="18"/>
                <w:szCs w:val="18"/>
              </w:rPr>
            </w:pPr>
          </w:p>
        </w:tc>
        <w:tc>
          <w:tcPr>
            <w:tcW w:w="521" w:type="pct"/>
            <w:tcBorders>
              <w:top w:val="single" w:sz="4" w:space="0" w:color="000000"/>
              <w:left w:val="single" w:sz="4" w:space="0" w:color="000000"/>
              <w:bottom w:val="single" w:sz="4" w:space="0" w:color="000000"/>
              <w:right w:val="single" w:sz="4" w:space="0" w:color="000000"/>
            </w:tcBorders>
            <w:shd w:val="clear" w:color="auto" w:fill="66CCFF"/>
            <w:tcMar>
              <w:top w:w="0" w:type="dxa"/>
              <w:left w:w="28" w:type="dxa"/>
              <w:bottom w:w="0" w:type="dxa"/>
              <w:right w:w="28" w:type="dxa"/>
            </w:tcMar>
            <w:vAlign w:val="center"/>
          </w:tcPr>
          <w:p w:rsidR="00A50899" w:rsidRDefault="00A50899" w:rsidP="00A324B6">
            <w:pPr>
              <w:pStyle w:val="Bang2"/>
              <w:spacing w:before="80" w:after="80"/>
              <w:jc w:val="center"/>
              <w:rPr>
                <w:b/>
                <w:sz w:val="18"/>
                <w:szCs w:val="18"/>
              </w:rPr>
            </w:pPr>
            <w:r>
              <w:rPr>
                <w:b/>
                <w:sz w:val="18"/>
                <w:szCs w:val="18"/>
              </w:rPr>
              <w:t>Viện,  trung tâm</w:t>
            </w:r>
          </w:p>
        </w:tc>
        <w:tc>
          <w:tcPr>
            <w:tcW w:w="543" w:type="pct"/>
            <w:tcBorders>
              <w:top w:val="single" w:sz="4" w:space="0" w:color="000000"/>
              <w:left w:val="single" w:sz="4" w:space="0" w:color="000000"/>
              <w:bottom w:val="single" w:sz="4" w:space="0" w:color="000000"/>
              <w:right w:val="single" w:sz="4" w:space="0" w:color="000000"/>
            </w:tcBorders>
            <w:shd w:val="clear" w:color="auto" w:fill="66CCFF"/>
            <w:tcMar>
              <w:top w:w="0" w:type="dxa"/>
              <w:left w:w="28" w:type="dxa"/>
              <w:bottom w:w="0" w:type="dxa"/>
              <w:right w:w="28" w:type="dxa"/>
            </w:tcMar>
            <w:vAlign w:val="center"/>
          </w:tcPr>
          <w:p w:rsidR="00A50899" w:rsidRDefault="00A50899" w:rsidP="00A324B6">
            <w:pPr>
              <w:pStyle w:val="Bang2"/>
              <w:spacing w:before="80" w:after="80"/>
              <w:jc w:val="center"/>
              <w:rPr>
                <w:b/>
                <w:sz w:val="18"/>
                <w:szCs w:val="18"/>
              </w:rPr>
            </w:pPr>
            <w:r>
              <w:rPr>
                <w:b/>
                <w:sz w:val="18"/>
                <w:szCs w:val="18"/>
              </w:rPr>
              <w:t>Trường đại học</w:t>
            </w:r>
          </w:p>
        </w:tc>
        <w:tc>
          <w:tcPr>
            <w:tcW w:w="492" w:type="pct"/>
            <w:tcBorders>
              <w:top w:val="single" w:sz="4" w:space="0" w:color="000000"/>
              <w:left w:val="single" w:sz="4" w:space="0" w:color="000000"/>
              <w:bottom w:val="single" w:sz="4" w:space="0" w:color="000000"/>
              <w:right w:val="single" w:sz="4" w:space="0" w:color="000000"/>
            </w:tcBorders>
            <w:shd w:val="clear" w:color="auto" w:fill="66CCFF"/>
            <w:tcMar>
              <w:top w:w="0" w:type="dxa"/>
              <w:left w:w="28" w:type="dxa"/>
              <w:bottom w:w="0" w:type="dxa"/>
              <w:right w:w="28" w:type="dxa"/>
            </w:tcMar>
            <w:vAlign w:val="center"/>
          </w:tcPr>
          <w:p w:rsidR="00A50899" w:rsidRDefault="00A50899" w:rsidP="00A324B6">
            <w:pPr>
              <w:pStyle w:val="Bang2"/>
              <w:spacing w:before="80" w:after="80"/>
              <w:jc w:val="center"/>
              <w:rPr>
                <w:b/>
                <w:sz w:val="18"/>
                <w:szCs w:val="18"/>
              </w:rPr>
            </w:pPr>
            <w:r>
              <w:rPr>
                <w:b/>
                <w:sz w:val="18"/>
                <w:szCs w:val="18"/>
              </w:rPr>
              <w:t>Cơ quan hành chính</w:t>
            </w:r>
          </w:p>
        </w:tc>
        <w:tc>
          <w:tcPr>
            <w:tcW w:w="492" w:type="pct"/>
            <w:tcBorders>
              <w:top w:val="single" w:sz="4" w:space="0" w:color="000000"/>
              <w:left w:val="single" w:sz="4" w:space="0" w:color="000000"/>
              <w:bottom w:val="single" w:sz="4" w:space="0" w:color="000000"/>
              <w:right w:val="single" w:sz="4" w:space="0" w:color="000000"/>
            </w:tcBorders>
            <w:shd w:val="clear" w:color="auto" w:fill="66CCFF"/>
            <w:tcMar>
              <w:top w:w="0" w:type="dxa"/>
              <w:left w:w="28" w:type="dxa"/>
              <w:bottom w:w="0" w:type="dxa"/>
              <w:right w:w="28" w:type="dxa"/>
            </w:tcMar>
            <w:vAlign w:val="center"/>
          </w:tcPr>
          <w:p w:rsidR="00320ECA" w:rsidRDefault="00A50899" w:rsidP="00A324B6">
            <w:pPr>
              <w:pStyle w:val="Bang2"/>
              <w:spacing w:before="80" w:after="80"/>
              <w:jc w:val="center"/>
              <w:rPr>
                <w:b/>
                <w:sz w:val="18"/>
                <w:szCs w:val="18"/>
              </w:rPr>
            </w:pPr>
            <w:r>
              <w:rPr>
                <w:b/>
                <w:sz w:val="18"/>
                <w:szCs w:val="18"/>
              </w:rPr>
              <w:t xml:space="preserve">Đơn </w:t>
            </w:r>
          </w:p>
          <w:p w:rsidR="00A50899" w:rsidRDefault="00A50899" w:rsidP="00A324B6">
            <w:pPr>
              <w:pStyle w:val="Bang2"/>
              <w:spacing w:before="80" w:after="80"/>
              <w:jc w:val="center"/>
              <w:rPr>
                <w:b/>
                <w:sz w:val="18"/>
                <w:szCs w:val="18"/>
              </w:rPr>
            </w:pPr>
            <w:r>
              <w:rPr>
                <w:b/>
                <w:sz w:val="18"/>
                <w:szCs w:val="18"/>
              </w:rPr>
              <w:t>vị sự nghiệp</w:t>
            </w:r>
          </w:p>
        </w:tc>
        <w:tc>
          <w:tcPr>
            <w:tcW w:w="492" w:type="pct"/>
            <w:tcBorders>
              <w:top w:val="single" w:sz="4" w:space="0" w:color="000000"/>
              <w:left w:val="single" w:sz="4" w:space="0" w:color="000000"/>
              <w:bottom w:val="single" w:sz="4" w:space="0" w:color="000000"/>
              <w:right w:val="single" w:sz="4" w:space="0" w:color="000000"/>
            </w:tcBorders>
            <w:shd w:val="clear" w:color="auto" w:fill="66CCFF"/>
            <w:tcMar>
              <w:top w:w="0" w:type="dxa"/>
              <w:left w:w="28" w:type="dxa"/>
              <w:bottom w:w="0" w:type="dxa"/>
              <w:right w:w="28" w:type="dxa"/>
            </w:tcMar>
            <w:vAlign w:val="center"/>
          </w:tcPr>
          <w:p w:rsidR="00A50899" w:rsidRDefault="00A50899" w:rsidP="00A324B6">
            <w:pPr>
              <w:pStyle w:val="Bang2"/>
              <w:spacing w:before="80" w:after="80"/>
              <w:jc w:val="center"/>
              <w:rPr>
                <w:b/>
                <w:sz w:val="18"/>
                <w:szCs w:val="18"/>
              </w:rPr>
            </w:pPr>
            <w:r>
              <w:rPr>
                <w:b/>
                <w:sz w:val="18"/>
                <w:szCs w:val="18"/>
              </w:rPr>
              <w:t>Doanh nghiệp</w:t>
            </w:r>
          </w:p>
        </w:tc>
        <w:tc>
          <w:tcPr>
            <w:tcW w:w="497" w:type="pct"/>
            <w:tcBorders>
              <w:top w:val="single" w:sz="4" w:space="0" w:color="000000"/>
              <w:left w:val="single" w:sz="4" w:space="0" w:color="000000"/>
              <w:bottom w:val="single" w:sz="4" w:space="0" w:color="000000"/>
              <w:right w:val="single" w:sz="4" w:space="0" w:color="000000"/>
            </w:tcBorders>
            <w:shd w:val="clear" w:color="auto" w:fill="66CCFF"/>
            <w:tcMar>
              <w:top w:w="0" w:type="dxa"/>
              <w:left w:w="28" w:type="dxa"/>
              <w:bottom w:w="0" w:type="dxa"/>
              <w:right w:w="28" w:type="dxa"/>
            </w:tcMar>
            <w:vAlign w:val="center"/>
          </w:tcPr>
          <w:p w:rsidR="00A50899" w:rsidRDefault="00A50899" w:rsidP="00A324B6">
            <w:pPr>
              <w:pStyle w:val="Bang2"/>
              <w:spacing w:before="80" w:after="80"/>
              <w:jc w:val="center"/>
              <w:rPr>
                <w:b/>
                <w:sz w:val="18"/>
                <w:szCs w:val="18"/>
              </w:rPr>
            </w:pPr>
            <w:r>
              <w:rPr>
                <w:b/>
                <w:sz w:val="18"/>
                <w:szCs w:val="18"/>
              </w:rPr>
              <w:t>Phi lợi nhuận</w:t>
            </w:r>
          </w:p>
        </w:tc>
      </w:tr>
      <w:tr w:rsidR="00A50899" w:rsidRPr="00C46EC3" w:rsidTr="00A324B6">
        <w:trPr>
          <w:trHeight w:val="316"/>
          <w:jc w:val="center"/>
        </w:trPr>
        <w:tc>
          <w:tcPr>
            <w:tcW w:w="1339" w:type="pct"/>
            <w:tcBorders>
              <w:top w:val="single" w:sz="4" w:space="0" w:color="000000"/>
              <w:left w:val="single" w:sz="4" w:space="0" w:color="000000"/>
              <w:bottom w:val="single" w:sz="4" w:space="0" w:color="000000"/>
              <w:right w:val="single" w:sz="4" w:space="0" w:color="000000"/>
            </w:tcBorders>
            <w:vAlign w:val="center"/>
          </w:tcPr>
          <w:p w:rsidR="00A50899" w:rsidRPr="00C46EC3" w:rsidRDefault="00A50899" w:rsidP="00A324B6">
            <w:pPr>
              <w:pStyle w:val="Bang2"/>
              <w:spacing w:before="80" w:after="80"/>
              <w:rPr>
                <w:b/>
                <w:i/>
                <w:sz w:val="19"/>
                <w:szCs w:val="19"/>
              </w:rPr>
            </w:pPr>
            <w:r w:rsidRPr="00C46EC3">
              <w:rPr>
                <w:b/>
                <w:i/>
                <w:sz w:val="19"/>
                <w:szCs w:val="19"/>
              </w:rPr>
              <w:t>Tổng số cán bộ nghiên cứu theo lĩnh vực KH&amp;CN</w:t>
            </w:r>
          </w:p>
        </w:tc>
        <w:tc>
          <w:tcPr>
            <w:tcW w:w="6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0899" w:rsidRPr="00C46EC3" w:rsidRDefault="00A50899" w:rsidP="00A324B6">
            <w:pPr>
              <w:pStyle w:val="Bang2"/>
              <w:spacing w:before="80" w:after="80"/>
              <w:jc w:val="right"/>
              <w:rPr>
                <w:b/>
                <w:i/>
                <w:sz w:val="19"/>
                <w:szCs w:val="19"/>
              </w:rPr>
            </w:pPr>
            <w:r w:rsidRPr="00C46EC3">
              <w:rPr>
                <w:b/>
                <w:i/>
                <w:sz w:val="19"/>
                <w:szCs w:val="19"/>
              </w:rPr>
              <w:fldChar w:fldCharType="begin"/>
            </w:r>
            <w:r w:rsidRPr="00C46EC3">
              <w:rPr>
                <w:b/>
                <w:i/>
                <w:sz w:val="19"/>
                <w:szCs w:val="19"/>
              </w:rPr>
              <w:instrText xml:space="preserve"> =SUM(ABOVE) </w:instrText>
            </w:r>
            <w:r w:rsidRPr="00C46EC3">
              <w:rPr>
                <w:b/>
                <w:i/>
                <w:sz w:val="19"/>
                <w:szCs w:val="19"/>
              </w:rPr>
              <w:fldChar w:fldCharType="separate"/>
            </w:r>
            <w:r w:rsidRPr="00C46EC3">
              <w:rPr>
                <w:b/>
                <w:i/>
                <w:noProof/>
                <w:sz w:val="19"/>
                <w:szCs w:val="19"/>
              </w:rPr>
              <w:t>128.997</w:t>
            </w:r>
            <w:r w:rsidRPr="00C46EC3">
              <w:rPr>
                <w:b/>
                <w:i/>
                <w:sz w:val="19"/>
                <w:szCs w:val="19"/>
              </w:rPr>
              <w:fldChar w:fldCharType="end"/>
            </w:r>
          </w:p>
        </w:tc>
        <w:tc>
          <w:tcPr>
            <w:tcW w:w="52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C46EC3" w:rsidRDefault="00A50899" w:rsidP="00A324B6">
            <w:pPr>
              <w:pStyle w:val="Bang2"/>
              <w:spacing w:before="80" w:after="80"/>
              <w:jc w:val="right"/>
              <w:rPr>
                <w:b/>
                <w:i/>
                <w:sz w:val="19"/>
                <w:szCs w:val="19"/>
              </w:rPr>
            </w:pPr>
            <w:r w:rsidRPr="00C46EC3">
              <w:rPr>
                <w:b/>
                <w:i/>
                <w:sz w:val="19"/>
                <w:szCs w:val="19"/>
              </w:rPr>
              <w:fldChar w:fldCharType="begin"/>
            </w:r>
            <w:r w:rsidRPr="00C46EC3">
              <w:rPr>
                <w:b/>
                <w:i/>
                <w:sz w:val="19"/>
                <w:szCs w:val="19"/>
              </w:rPr>
              <w:instrText xml:space="preserve"> =SUM(ABOVE) </w:instrText>
            </w:r>
            <w:r w:rsidRPr="00C46EC3">
              <w:rPr>
                <w:b/>
                <w:i/>
                <w:sz w:val="19"/>
                <w:szCs w:val="19"/>
              </w:rPr>
              <w:fldChar w:fldCharType="separate"/>
            </w:r>
            <w:r w:rsidRPr="00C46EC3">
              <w:rPr>
                <w:b/>
                <w:i/>
                <w:noProof/>
                <w:sz w:val="19"/>
                <w:szCs w:val="19"/>
              </w:rPr>
              <w:t>29.821</w:t>
            </w:r>
            <w:r w:rsidRPr="00C46EC3">
              <w:rPr>
                <w:b/>
                <w:i/>
                <w:sz w:val="19"/>
                <w:szCs w:val="19"/>
              </w:rPr>
              <w:fldChar w:fldCharType="end"/>
            </w:r>
          </w:p>
        </w:tc>
        <w:tc>
          <w:tcPr>
            <w:tcW w:w="5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C46EC3" w:rsidRDefault="00A50899" w:rsidP="00A324B6">
            <w:pPr>
              <w:pStyle w:val="Bang2"/>
              <w:spacing w:before="80" w:after="80"/>
              <w:jc w:val="right"/>
              <w:rPr>
                <w:b/>
                <w:i/>
                <w:sz w:val="19"/>
                <w:szCs w:val="19"/>
              </w:rPr>
            </w:pPr>
            <w:r w:rsidRPr="00C46EC3">
              <w:rPr>
                <w:b/>
                <w:i/>
                <w:sz w:val="19"/>
                <w:szCs w:val="19"/>
              </w:rPr>
              <w:fldChar w:fldCharType="begin"/>
            </w:r>
            <w:r w:rsidRPr="00C46EC3">
              <w:rPr>
                <w:b/>
                <w:i/>
                <w:sz w:val="19"/>
                <w:szCs w:val="19"/>
              </w:rPr>
              <w:instrText xml:space="preserve"> =SUM(ABOVE) </w:instrText>
            </w:r>
            <w:r w:rsidRPr="00C46EC3">
              <w:rPr>
                <w:b/>
                <w:i/>
                <w:sz w:val="19"/>
                <w:szCs w:val="19"/>
              </w:rPr>
              <w:fldChar w:fldCharType="separate"/>
            </w:r>
            <w:r w:rsidRPr="00C46EC3">
              <w:rPr>
                <w:b/>
                <w:i/>
                <w:noProof/>
                <w:sz w:val="19"/>
                <w:szCs w:val="19"/>
              </w:rPr>
              <w:t>63.434</w:t>
            </w:r>
            <w:r w:rsidRPr="00C46EC3">
              <w:rPr>
                <w:b/>
                <w:i/>
                <w:sz w:val="19"/>
                <w:szCs w:val="19"/>
              </w:rPr>
              <w:fldChar w:fldCharType="end"/>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C46EC3" w:rsidRDefault="00A50899" w:rsidP="00A324B6">
            <w:pPr>
              <w:pStyle w:val="Bang2"/>
              <w:spacing w:before="80" w:after="80"/>
              <w:jc w:val="right"/>
              <w:rPr>
                <w:b/>
                <w:i/>
                <w:sz w:val="19"/>
                <w:szCs w:val="19"/>
              </w:rPr>
            </w:pPr>
            <w:r w:rsidRPr="00C46EC3">
              <w:rPr>
                <w:b/>
                <w:i/>
                <w:sz w:val="19"/>
                <w:szCs w:val="19"/>
              </w:rPr>
              <w:fldChar w:fldCharType="begin"/>
            </w:r>
            <w:r w:rsidRPr="00C46EC3">
              <w:rPr>
                <w:b/>
                <w:i/>
                <w:sz w:val="19"/>
                <w:szCs w:val="19"/>
              </w:rPr>
              <w:instrText xml:space="preserve"> =SUM(ABOVE) </w:instrText>
            </w:r>
            <w:r w:rsidRPr="00C46EC3">
              <w:rPr>
                <w:b/>
                <w:i/>
                <w:sz w:val="19"/>
                <w:szCs w:val="19"/>
              </w:rPr>
              <w:fldChar w:fldCharType="separate"/>
            </w:r>
            <w:r w:rsidRPr="00C46EC3">
              <w:rPr>
                <w:b/>
                <w:i/>
                <w:noProof/>
                <w:sz w:val="19"/>
                <w:szCs w:val="19"/>
              </w:rPr>
              <w:t>8.461</w:t>
            </w:r>
            <w:r w:rsidRPr="00C46EC3">
              <w:rPr>
                <w:b/>
                <w:i/>
                <w:sz w:val="19"/>
                <w:szCs w:val="19"/>
              </w:rPr>
              <w:fldChar w:fldCharType="end"/>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C46EC3" w:rsidRDefault="00A50899" w:rsidP="00A324B6">
            <w:pPr>
              <w:pStyle w:val="Bang2"/>
              <w:spacing w:before="80" w:after="80"/>
              <w:jc w:val="right"/>
              <w:rPr>
                <w:b/>
                <w:i/>
                <w:sz w:val="19"/>
                <w:szCs w:val="19"/>
              </w:rPr>
            </w:pPr>
            <w:r w:rsidRPr="00C46EC3">
              <w:rPr>
                <w:b/>
                <w:i/>
                <w:sz w:val="19"/>
                <w:szCs w:val="19"/>
              </w:rPr>
              <w:fldChar w:fldCharType="begin"/>
            </w:r>
            <w:r w:rsidRPr="00C46EC3">
              <w:rPr>
                <w:b/>
                <w:i/>
                <w:sz w:val="19"/>
                <w:szCs w:val="19"/>
              </w:rPr>
              <w:instrText xml:space="preserve"> =SUM(ABOVE) </w:instrText>
            </w:r>
            <w:r w:rsidRPr="00C46EC3">
              <w:rPr>
                <w:b/>
                <w:i/>
                <w:sz w:val="19"/>
                <w:szCs w:val="19"/>
              </w:rPr>
              <w:fldChar w:fldCharType="separate"/>
            </w:r>
            <w:r w:rsidRPr="00C46EC3">
              <w:rPr>
                <w:b/>
                <w:i/>
                <w:noProof/>
                <w:sz w:val="19"/>
                <w:szCs w:val="19"/>
              </w:rPr>
              <w:t>7.494</w:t>
            </w:r>
            <w:r w:rsidRPr="00C46EC3">
              <w:rPr>
                <w:b/>
                <w:i/>
                <w:sz w:val="19"/>
                <w:szCs w:val="19"/>
              </w:rPr>
              <w:fldChar w:fldCharType="end"/>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C46EC3" w:rsidRDefault="00A50899" w:rsidP="00A324B6">
            <w:pPr>
              <w:pStyle w:val="Bang2"/>
              <w:spacing w:before="80" w:after="80"/>
              <w:jc w:val="right"/>
              <w:rPr>
                <w:b/>
                <w:i/>
                <w:sz w:val="19"/>
                <w:szCs w:val="19"/>
              </w:rPr>
            </w:pPr>
            <w:r w:rsidRPr="00C46EC3">
              <w:rPr>
                <w:b/>
                <w:i/>
                <w:sz w:val="19"/>
                <w:szCs w:val="19"/>
              </w:rPr>
              <w:fldChar w:fldCharType="begin"/>
            </w:r>
            <w:r w:rsidRPr="00C46EC3">
              <w:rPr>
                <w:b/>
                <w:i/>
                <w:sz w:val="19"/>
                <w:szCs w:val="19"/>
              </w:rPr>
              <w:instrText xml:space="preserve"> =SUM(ABOVE) </w:instrText>
            </w:r>
            <w:r w:rsidRPr="00C46EC3">
              <w:rPr>
                <w:b/>
                <w:i/>
                <w:sz w:val="19"/>
                <w:szCs w:val="19"/>
              </w:rPr>
              <w:fldChar w:fldCharType="separate"/>
            </w:r>
            <w:r w:rsidRPr="00C46EC3">
              <w:rPr>
                <w:b/>
                <w:i/>
                <w:noProof/>
                <w:sz w:val="19"/>
                <w:szCs w:val="19"/>
              </w:rPr>
              <w:t>18.553</w:t>
            </w:r>
            <w:r w:rsidRPr="00C46EC3">
              <w:rPr>
                <w:b/>
                <w:i/>
                <w:sz w:val="19"/>
                <w:szCs w:val="19"/>
              </w:rPr>
              <w:fldChar w:fldCharType="end"/>
            </w:r>
          </w:p>
        </w:tc>
        <w:tc>
          <w:tcPr>
            <w:tcW w:w="49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C46EC3" w:rsidRDefault="00A50899" w:rsidP="00A324B6">
            <w:pPr>
              <w:pStyle w:val="Bang2"/>
              <w:spacing w:before="80" w:after="80"/>
              <w:jc w:val="right"/>
              <w:rPr>
                <w:b/>
                <w:i/>
                <w:sz w:val="19"/>
                <w:szCs w:val="19"/>
              </w:rPr>
            </w:pPr>
            <w:r w:rsidRPr="00C46EC3">
              <w:rPr>
                <w:b/>
                <w:i/>
                <w:sz w:val="19"/>
                <w:szCs w:val="19"/>
              </w:rPr>
              <w:fldChar w:fldCharType="begin"/>
            </w:r>
            <w:r w:rsidRPr="00C46EC3">
              <w:rPr>
                <w:b/>
                <w:i/>
                <w:sz w:val="19"/>
                <w:szCs w:val="19"/>
              </w:rPr>
              <w:instrText xml:space="preserve"> =SUM(ABOVE) </w:instrText>
            </w:r>
            <w:r w:rsidRPr="00C46EC3">
              <w:rPr>
                <w:b/>
                <w:i/>
                <w:sz w:val="19"/>
                <w:szCs w:val="19"/>
              </w:rPr>
              <w:fldChar w:fldCharType="separate"/>
            </w:r>
            <w:r w:rsidRPr="00C46EC3">
              <w:rPr>
                <w:b/>
                <w:i/>
                <w:noProof/>
                <w:sz w:val="19"/>
                <w:szCs w:val="19"/>
              </w:rPr>
              <w:t>1.233</w:t>
            </w:r>
            <w:r w:rsidRPr="00C46EC3">
              <w:rPr>
                <w:b/>
                <w:i/>
                <w:sz w:val="19"/>
                <w:szCs w:val="19"/>
              </w:rPr>
              <w:fldChar w:fldCharType="end"/>
            </w:r>
          </w:p>
        </w:tc>
      </w:tr>
      <w:tr w:rsidR="00A50899" w:rsidTr="00A324B6">
        <w:trPr>
          <w:trHeight w:val="243"/>
          <w:jc w:val="center"/>
        </w:trPr>
        <w:tc>
          <w:tcPr>
            <w:tcW w:w="1339" w:type="pct"/>
            <w:tcBorders>
              <w:top w:val="single" w:sz="4" w:space="0" w:color="000000"/>
              <w:left w:val="single" w:sz="4" w:space="0" w:color="000000"/>
              <w:bottom w:val="single" w:sz="4" w:space="0" w:color="000000"/>
              <w:right w:val="single" w:sz="4" w:space="0" w:color="000000"/>
            </w:tcBorders>
            <w:vAlign w:val="center"/>
          </w:tcPr>
          <w:p w:rsidR="00A50899" w:rsidRDefault="00A50899" w:rsidP="00A324B6">
            <w:pPr>
              <w:pStyle w:val="Bang2"/>
              <w:spacing w:before="80" w:after="80"/>
              <w:rPr>
                <w:sz w:val="18"/>
                <w:szCs w:val="18"/>
              </w:rPr>
            </w:pPr>
            <w:r>
              <w:rPr>
                <w:sz w:val="18"/>
                <w:szCs w:val="18"/>
              </w:rPr>
              <w:t>Khoa học tự nhiên</w:t>
            </w:r>
          </w:p>
        </w:tc>
        <w:tc>
          <w:tcPr>
            <w:tcW w:w="624" w:type="pct"/>
            <w:tcBorders>
              <w:top w:val="single" w:sz="4" w:space="0" w:color="000000"/>
              <w:left w:val="single" w:sz="4" w:space="0" w:color="000000"/>
              <w:bottom w:val="single" w:sz="4" w:space="0" w:color="000000"/>
              <w:right w:val="single" w:sz="4" w:space="0" w:color="000000"/>
            </w:tcBorders>
          </w:tcPr>
          <w:p w:rsidR="00A50899" w:rsidRPr="005C28FA" w:rsidRDefault="00A50899" w:rsidP="00A324B6">
            <w:pPr>
              <w:pStyle w:val="Bang2"/>
              <w:spacing w:before="80" w:after="80"/>
              <w:jc w:val="right"/>
              <w:rPr>
                <w:sz w:val="19"/>
                <w:szCs w:val="19"/>
              </w:rPr>
            </w:pPr>
            <w:r w:rsidRPr="00C57BBC">
              <w:rPr>
                <w:sz w:val="19"/>
                <w:szCs w:val="19"/>
              </w:rPr>
              <w:t>14.342</w:t>
            </w:r>
          </w:p>
        </w:tc>
        <w:tc>
          <w:tcPr>
            <w:tcW w:w="52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4.958</w:t>
            </w:r>
          </w:p>
        </w:tc>
        <w:tc>
          <w:tcPr>
            <w:tcW w:w="5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7.822</w:t>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868</w:t>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599</w:t>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0</w:t>
            </w:r>
          </w:p>
        </w:tc>
        <w:tc>
          <w:tcPr>
            <w:tcW w:w="49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95</w:t>
            </w:r>
          </w:p>
        </w:tc>
      </w:tr>
      <w:tr w:rsidR="00A50899" w:rsidTr="00A324B6">
        <w:trPr>
          <w:trHeight w:val="566"/>
          <w:jc w:val="center"/>
        </w:trPr>
        <w:tc>
          <w:tcPr>
            <w:tcW w:w="1339" w:type="pct"/>
            <w:tcBorders>
              <w:top w:val="single" w:sz="4" w:space="0" w:color="000000"/>
              <w:left w:val="single" w:sz="4" w:space="0" w:color="000000"/>
              <w:bottom w:val="single" w:sz="4" w:space="0" w:color="000000"/>
              <w:right w:val="single" w:sz="4" w:space="0" w:color="000000"/>
            </w:tcBorders>
            <w:vAlign w:val="center"/>
          </w:tcPr>
          <w:p w:rsidR="00A50899" w:rsidRDefault="00A50899" w:rsidP="00A324B6">
            <w:pPr>
              <w:pStyle w:val="Bang2"/>
              <w:spacing w:before="80" w:after="80"/>
              <w:rPr>
                <w:sz w:val="18"/>
                <w:szCs w:val="18"/>
              </w:rPr>
            </w:pPr>
            <w:r>
              <w:rPr>
                <w:sz w:val="18"/>
                <w:szCs w:val="18"/>
              </w:rPr>
              <w:t>Khoa học kỹ thuật và công nghệ</w:t>
            </w:r>
          </w:p>
        </w:tc>
        <w:tc>
          <w:tcPr>
            <w:tcW w:w="624" w:type="pct"/>
            <w:tcBorders>
              <w:top w:val="single" w:sz="4" w:space="0" w:color="000000"/>
              <w:left w:val="single" w:sz="4" w:space="0" w:color="000000"/>
              <w:bottom w:val="single" w:sz="4" w:space="0" w:color="000000"/>
              <w:right w:val="single" w:sz="4" w:space="0" w:color="000000"/>
            </w:tcBorders>
          </w:tcPr>
          <w:p w:rsidR="00A50899" w:rsidRPr="005C28FA" w:rsidRDefault="00A50899" w:rsidP="00A324B6">
            <w:pPr>
              <w:pStyle w:val="Bang2"/>
              <w:spacing w:before="80" w:after="80"/>
              <w:jc w:val="right"/>
              <w:rPr>
                <w:sz w:val="19"/>
                <w:szCs w:val="19"/>
              </w:rPr>
            </w:pPr>
            <w:r w:rsidRPr="00C57BBC">
              <w:rPr>
                <w:sz w:val="19"/>
                <w:szCs w:val="19"/>
              </w:rPr>
              <w:t>44.965</w:t>
            </w:r>
          </w:p>
        </w:tc>
        <w:tc>
          <w:tcPr>
            <w:tcW w:w="52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9.694</w:t>
            </w:r>
          </w:p>
        </w:tc>
        <w:tc>
          <w:tcPr>
            <w:tcW w:w="5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17.576</w:t>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1.378</w:t>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1.116</w:t>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14.852</w:t>
            </w:r>
          </w:p>
        </w:tc>
        <w:tc>
          <w:tcPr>
            <w:tcW w:w="49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348</w:t>
            </w:r>
          </w:p>
        </w:tc>
      </w:tr>
      <w:tr w:rsidR="00A50899" w:rsidTr="00A324B6">
        <w:trPr>
          <w:trHeight w:val="346"/>
          <w:jc w:val="center"/>
        </w:trPr>
        <w:tc>
          <w:tcPr>
            <w:tcW w:w="1339" w:type="pct"/>
            <w:tcBorders>
              <w:top w:val="single" w:sz="4" w:space="0" w:color="000000"/>
              <w:left w:val="single" w:sz="4" w:space="0" w:color="000000"/>
              <w:bottom w:val="single" w:sz="4" w:space="0" w:color="000000"/>
              <w:right w:val="single" w:sz="4" w:space="0" w:color="000000"/>
            </w:tcBorders>
            <w:vAlign w:val="center"/>
          </w:tcPr>
          <w:p w:rsidR="00A50899" w:rsidRDefault="00A50899" w:rsidP="00A324B6">
            <w:pPr>
              <w:pStyle w:val="Bang2"/>
              <w:spacing w:before="80" w:after="80"/>
              <w:rPr>
                <w:sz w:val="18"/>
                <w:szCs w:val="18"/>
              </w:rPr>
            </w:pPr>
            <w:r>
              <w:rPr>
                <w:sz w:val="18"/>
                <w:szCs w:val="18"/>
              </w:rPr>
              <w:t>Khoa học y, dược</w:t>
            </w:r>
          </w:p>
        </w:tc>
        <w:tc>
          <w:tcPr>
            <w:tcW w:w="624" w:type="pct"/>
            <w:tcBorders>
              <w:top w:val="single" w:sz="4" w:space="0" w:color="000000"/>
              <w:left w:val="single" w:sz="4" w:space="0" w:color="000000"/>
              <w:bottom w:val="single" w:sz="4" w:space="0" w:color="000000"/>
              <w:right w:val="single" w:sz="4" w:space="0" w:color="000000"/>
            </w:tcBorders>
          </w:tcPr>
          <w:p w:rsidR="00A50899" w:rsidRPr="005C28FA" w:rsidRDefault="00A50899" w:rsidP="00A324B6">
            <w:pPr>
              <w:pStyle w:val="Bang2"/>
              <w:spacing w:before="80" w:after="80"/>
              <w:jc w:val="right"/>
              <w:rPr>
                <w:sz w:val="19"/>
                <w:szCs w:val="19"/>
              </w:rPr>
            </w:pPr>
            <w:r w:rsidRPr="00C57BBC">
              <w:rPr>
                <w:sz w:val="19"/>
                <w:szCs w:val="19"/>
              </w:rPr>
              <w:t>12.601</w:t>
            </w:r>
          </w:p>
        </w:tc>
        <w:tc>
          <w:tcPr>
            <w:tcW w:w="52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1.684</w:t>
            </w:r>
          </w:p>
        </w:tc>
        <w:tc>
          <w:tcPr>
            <w:tcW w:w="5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6.134</w:t>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1.320</w:t>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3.368</w:t>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0</w:t>
            </w:r>
          </w:p>
        </w:tc>
        <w:tc>
          <w:tcPr>
            <w:tcW w:w="49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95</w:t>
            </w:r>
          </w:p>
        </w:tc>
      </w:tr>
      <w:tr w:rsidR="00A50899" w:rsidTr="00A324B6">
        <w:trPr>
          <w:trHeight w:val="291"/>
          <w:jc w:val="center"/>
        </w:trPr>
        <w:tc>
          <w:tcPr>
            <w:tcW w:w="1339" w:type="pct"/>
            <w:tcBorders>
              <w:top w:val="single" w:sz="4" w:space="0" w:color="000000"/>
              <w:left w:val="single" w:sz="4" w:space="0" w:color="000000"/>
              <w:bottom w:val="single" w:sz="4" w:space="0" w:color="000000"/>
              <w:right w:val="single" w:sz="4" w:space="0" w:color="000000"/>
            </w:tcBorders>
            <w:vAlign w:val="center"/>
          </w:tcPr>
          <w:p w:rsidR="00A50899" w:rsidRDefault="00A50899" w:rsidP="00A324B6">
            <w:pPr>
              <w:pStyle w:val="Bang2"/>
              <w:spacing w:before="80" w:after="80"/>
              <w:rPr>
                <w:sz w:val="18"/>
                <w:szCs w:val="18"/>
              </w:rPr>
            </w:pPr>
            <w:r>
              <w:rPr>
                <w:sz w:val="18"/>
                <w:szCs w:val="18"/>
              </w:rPr>
              <w:t>Khoa học nông nghiệp</w:t>
            </w:r>
          </w:p>
        </w:tc>
        <w:tc>
          <w:tcPr>
            <w:tcW w:w="624" w:type="pct"/>
            <w:tcBorders>
              <w:top w:val="single" w:sz="4" w:space="0" w:color="000000"/>
              <w:left w:val="single" w:sz="4" w:space="0" w:color="000000"/>
              <w:bottom w:val="single" w:sz="4" w:space="0" w:color="000000"/>
              <w:right w:val="single" w:sz="4" w:space="0" w:color="000000"/>
            </w:tcBorders>
          </w:tcPr>
          <w:p w:rsidR="00A50899" w:rsidRPr="005C28FA" w:rsidRDefault="00A50899" w:rsidP="00A324B6">
            <w:pPr>
              <w:pStyle w:val="Bang2"/>
              <w:spacing w:before="80" w:after="80"/>
              <w:jc w:val="right"/>
              <w:rPr>
                <w:sz w:val="19"/>
                <w:szCs w:val="19"/>
              </w:rPr>
            </w:pPr>
            <w:r w:rsidRPr="00C57BBC">
              <w:rPr>
                <w:sz w:val="19"/>
                <w:szCs w:val="19"/>
              </w:rPr>
              <w:t>15.402</w:t>
            </w:r>
          </w:p>
        </w:tc>
        <w:tc>
          <w:tcPr>
            <w:tcW w:w="52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7.442</w:t>
            </w:r>
          </w:p>
        </w:tc>
        <w:tc>
          <w:tcPr>
            <w:tcW w:w="5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3.694</w:t>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2.191</w:t>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1.522</w:t>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226</w:t>
            </w:r>
          </w:p>
        </w:tc>
        <w:tc>
          <w:tcPr>
            <w:tcW w:w="49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327</w:t>
            </w:r>
          </w:p>
        </w:tc>
      </w:tr>
      <w:tr w:rsidR="00A50899" w:rsidTr="00A324B6">
        <w:trPr>
          <w:trHeight w:val="222"/>
          <w:jc w:val="center"/>
        </w:trPr>
        <w:tc>
          <w:tcPr>
            <w:tcW w:w="1339" w:type="pct"/>
            <w:tcBorders>
              <w:top w:val="single" w:sz="4" w:space="0" w:color="000000"/>
              <w:left w:val="single" w:sz="4" w:space="0" w:color="000000"/>
              <w:bottom w:val="single" w:sz="4" w:space="0" w:color="000000"/>
              <w:right w:val="single" w:sz="4" w:space="0" w:color="000000"/>
            </w:tcBorders>
            <w:vAlign w:val="center"/>
          </w:tcPr>
          <w:p w:rsidR="00A50899" w:rsidRDefault="00A50899" w:rsidP="00A324B6">
            <w:pPr>
              <w:pStyle w:val="Bang2"/>
              <w:spacing w:before="80" w:after="80"/>
              <w:rPr>
                <w:sz w:val="18"/>
                <w:szCs w:val="18"/>
              </w:rPr>
            </w:pPr>
            <w:r>
              <w:rPr>
                <w:sz w:val="18"/>
                <w:szCs w:val="18"/>
              </w:rPr>
              <w:t>Khoa học xã hội</w:t>
            </w:r>
          </w:p>
        </w:tc>
        <w:tc>
          <w:tcPr>
            <w:tcW w:w="624" w:type="pct"/>
            <w:tcBorders>
              <w:top w:val="single" w:sz="4" w:space="0" w:color="000000"/>
              <w:left w:val="single" w:sz="4" w:space="0" w:color="000000"/>
              <w:bottom w:val="single" w:sz="4" w:space="0" w:color="000000"/>
              <w:right w:val="single" w:sz="4" w:space="0" w:color="000000"/>
            </w:tcBorders>
          </w:tcPr>
          <w:p w:rsidR="00A50899" w:rsidRPr="005C28FA" w:rsidRDefault="00A50899" w:rsidP="00A324B6">
            <w:pPr>
              <w:pStyle w:val="Bang2"/>
              <w:spacing w:before="80" w:after="80"/>
              <w:jc w:val="right"/>
              <w:rPr>
                <w:sz w:val="19"/>
                <w:szCs w:val="19"/>
              </w:rPr>
            </w:pPr>
            <w:r w:rsidRPr="00C57BBC">
              <w:rPr>
                <w:sz w:val="19"/>
                <w:szCs w:val="19"/>
              </w:rPr>
              <w:t>34.225</w:t>
            </w:r>
          </w:p>
        </w:tc>
        <w:tc>
          <w:tcPr>
            <w:tcW w:w="52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5.091</w:t>
            </w:r>
          </w:p>
        </w:tc>
        <w:tc>
          <w:tcPr>
            <w:tcW w:w="5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22.915</w:t>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1.931</w:t>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662</w:t>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3.379</w:t>
            </w:r>
          </w:p>
        </w:tc>
        <w:tc>
          <w:tcPr>
            <w:tcW w:w="49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247</w:t>
            </w:r>
          </w:p>
        </w:tc>
      </w:tr>
      <w:tr w:rsidR="00A50899" w:rsidTr="00A324B6">
        <w:trPr>
          <w:trHeight w:val="316"/>
          <w:jc w:val="center"/>
        </w:trPr>
        <w:tc>
          <w:tcPr>
            <w:tcW w:w="1339" w:type="pct"/>
            <w:tcBorders>
              <w:top w:val="single" w:sz="4" w:space="0" w:color="000000"/>
              <w:left w:val="single" w:sz="4" w:space="0" w:color="000000"/>
              <w:bottom w:val="single" w:sz="4" w:space="0" w:color="000000"/>
              <w:right w:val="single" w:sz="4" w:space="0" w:color="000000"/>
            </w:tcBorders>
            <w:vAlign w:val="center"/>
          </w:tcPr>
          <w:p w:rsidR="00A50899" w:rsidRDefault="00A50899" w:rsidP="00A324B6">
            <w:pPr>
              <w:pStyle w:val="Bang2"/>
              <w:spacing w:before="80" w:after="80"/>
              <w:rPr>
                <w:sz w:val="18"/>
                <w:szCs w:val="18"/>
              </w:rPr>
            </w:pPr>
            <w:r>
              <w:rPr>
                <w:sz w:val="18"/>
                <w:szCs w:val="18"/>
              </w:rPr>
              <w:t>Khoa học nhân văn</w:t>
            </w:r>
          </w:p>
        </w:tc>
        <w:tc>
          <w:tcPr>
            <w:tcW w:w="624" w:type="pct"/>
            <w:tcBorders>
              <w:top w:val="single" w:sz="4" w:space="0" w:color="000000"/>
              <w:left w:val="single" w:sz="4" w:space="0" w:color="000000"/>
              <w:bottom w:val="single" w:sz="4" w:space="0" w:color="000000"/>
              <w:right w:val="single" w:sz="4" w:space="0" w:color="000000"/>
            </w:tcBorders>
          </w:tcPr>
          <w:p w:rsidR="00A50899" w:rsidRPr="005C28FA" w:rsidRDefault="00A50899" w:rsidP="00A324B6">
            <w:pPr>
              <w:pStyle w:val="Bang2"/>
              <w:spacing w:before="80" w:after="80"/>
              <w:jc w:val="right"/>
              <w:rPr>
                <w:sz w:val="19"/>
                <w:szCs w:val="19"/>
              </w:rPr>
            </w:pPr>
            <w:r w:rsidRPr="00C57BBC">
              <w:rPr>
                <w:sz w:val="19"/>
                <w:szCs w:val="19"/>
              </w:rPr>
              <w:t>7.462</w:t>
            </w:r>
          </w:p>
        </w:tc>
        <w:tc>
          <w:tcPr>
            <w:tcW w:w="52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952</w:t>
            </w:r>
          </w:p>
        </w:tc>
        <w:tc>
          <w:tcPr>
            <w:tcW w:w="5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5.293</w:t>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773</w:t>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227</w:t>
            </w:r>
          </w:p>
        </w:tc>
        <w:tc>
          <w:tcPr>
            <w:tcW w:w="4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96</w:t>
            </w:r>
          </w:p>
        </w:tc>
        <w:tc>
          <w:tcPr>
            <w:tcW w:w="49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tcPr>
          <w:p w:rsidR="00A50899" w:rsidRPr="005C28FA" w:rsidRDefault="00A50899" w:rsidP="00A324B6">
            <w:pPr>
              <w:pStyle w:val="Bang2"/>
              <w:spacing w:before="80" w:after="80"/>
              <w:jc w:val="right"/>
              <w:rPr>
                <w:sz w:val="19"/>
                <w:szCs w:val="19"/>
              </w:rPr>
            </w:pPr>
            <w:r w:rsidRPr="00C57BBC">
              <w:rPr>
                <w:sz w:val="19"/>
                <w:szCs w:val="19"/>
              </w:rPr>
              <w:t>121</w:t>
            </w:r>
          </w:p>
        </w:tc>
      </w:tr>
    </w:tbl>
    <w:p w:rsidR="00A50899" w:rsidRDefault="00A50899" w:rsidP="00A50899">
      <w:pPr>
        <w:pStyle w:val="Bang2"/>
        <w:keepNext w:val="0"/>
        <w:spacing w:before="120"/>
        <w:jc w:val="right"/>
        <w:rPr>
          <w:i/>
        </w:rPr>
      </w:pPr>
      <w:r>
        <w:rPr>
          <w:i/>
        </w:rPr>
        <w:t>Nguồn: Tổng hợp từ Điều tra NC&amp;PT 2014 và Điều tra doanh nghiệp 2014.</w:t>
      </w:r>
    </w:p>
    <w:p w:rsidR="00A50899" w:rsidRPr="00842D77" w:rsidRDefault="00A50899" w:rsidP="00A50899">
      <w:pPr>
        <w:pStyle w:val="khcnvn"/>
        <w:ind w:firstLine="0"/>
        <w:jc w:val="center"/>
      </w:pPr>
      <w:r>
        <w:rPr>
          <w:noProof/>
          <w:lang w:val="en-US" w:eastAsia="en-US"/>
        </w:rPr>
        <w:drawing>
          <wp:inline distT="0" distB="0" distL="0" distR="0" wp14:anchorId="77C4399F" wp14:editId="3DE370B0">
            <wp:extent cx="4561205" cy="2402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1205" cy="2402840"/>
                    </a:xfrm>
                    <a:prstGeom prst="rect">
                      <a:avLst/>
                    </a:prstGeom>
                    <a:noFill/>
                    <a:ln>
                      <a:noFill/>
                    </a:ln>
                  </pic:spPr>
                </pic:pic>
              </a:graphicData>
            </a:graphic>
          </wp:inline>
        </w:drawing>
      </w:r>
    </w:p>
    <w:p w:rsidR="00A50899" w:rsidRPr="004070DA" w:rsidRDefault="00A50899" w:rsidP="00A50899">
      <w:pPr>
        <w:pStyle w:val="khcnvntenhinh"/>
      </w:pPr>
      <w:bookmarkStart w:id="32" w:name="_Toc453341473"/>
      <w:r w:rsidRPr="003E1A9B">
        <w:rPr>
          <w:b/>
          <w:i/>
        </w:rPr>
        <w:lastRenderedPageBreak/>
        <w:t xml:space="preserve">Hình </w:t>
      </w:r>
      <w:r>
        <w:rPr>
          <w:b/>
          <w:i/>
        </w:rPr>
        <w:t>1</w:t>
      </w:r>
      <w:r w:rsidRPr="003E1A9B">
        <w:rPr>
          <w:b/>
          <w:i/>
        </w:rPr>
        <w:t>.</w:t>
      </w:r>
      <w:r>
        <w:rPr>
          <w:b/>
          <w:i/>
        </w:rPr>
        <w:t>9</w:t>
      </w:r>
      <w:r w:rsidRPr="003E1A9B">
        <w:rPr>
          <w:b/>
          <w:i/>
        </w:rPr>
        <w:t>.</w:t>
      </w:r>
      <w:r w:rsidRPr="004070DA">
        <w:t xml:space="preserve"> Tỷ lệ cán bộ nghiên cứu theo lĩnh vực KH&amp;CN</w:t>
      </w:r>
      <w:bookmarkEnd w:id="32"/>
    </w:p>
    <w:p w:rsidR="00A50899" w:rsidRDefault="00A50899" w:rsidP="00A50899">
      <w:pPr>
        <w:pStyle w:val="bodyA0"/>
        <w:spacing w:before="200" w:line="283" w:lineRule="auto"/>
        <w:rPr>
          <w:lang w:val="vi-VN"/>
        </w:rPr>
      </w:pPr>
      <w:r>
        <w:rPr>
          <w:lang w:val="vi-VN"/>
        </w:rPr>
        <w:t xml:space="preserve">Bình quân cán bộ nghiên cứu trên vạn dân năm 2013 </w:t>
      </w:r>
      <w:r>
        <w:t xml:space="preserve">tính theo đầu người </w:t>
      </w:r>
      <w:r>
        <w:rPr>
          <w:lang w:val="vi-VN"/>
        </w:rPr>
        <w:t xml:space="preserve">của Việt Nam là 14,3 người. Tỷ lệ này thấp hơn của Trung Quốc năm 2012 (15,3); bằng 1/5 của Nhật Bản (70,2), 1/6 của Hàn Quốc (82,0) và gần 1/5 của Singapo (74,8) (Bảng </w:t>
      </w:r>
      <w:r>
        <w:rPr>
          <w:lang w:val="en-US"/>
        </w:rPr>
        <w:t>1</w:t>
      </w:r>
      <w:r>
        <w:rPr>
          <w:lang w:val="vi-VN"/>
        </w:rPr>
        <w:t>.1</w:t>
      </w:r>
      <w:r w:rsidRPr="00454A79">
        <w:rPr>
          <w:lang w:val="vi-VN"/>
        </w:rPr>
        <w:t>3</w:t>
      </w:r>
      <w:r>
        <w:rPr>
          <w:lang w:val="vi-VN"/>
        </w:rPr>
        <w:t>).</w:t>
      </w:r>
    </w:p>
    <w:p w:rsidR="00320ECA" w:rsidRDefault="00A50899" w:rsidP="00A50899">
      <w:pPr>
        <w:pStyle w:val="khcnvnTenBang"/>
        <w:spacing w:before="200"/>
      </w:pPr>
      <w:bookmarkStart w:id="33" w:name="_Toc453342469"/>
      <w:r w:rsidRPr="00454A79">
        <w:rPr>
          <w:b/>
          <w:i/>
          <w:lang w:val="vi-VN"/>
        </w:rPr>
        <w:t xml:space="preserve">Bảng </w:t>
      </w:r>
      <w:r>
        <w:rPr>
          <w:b/>
          <w:i/>
        </w:rPr>
        <w:t>1</w:t>
      </w:r>
      <w:r w:rsidRPr="00454A79">
        <w:rPr>
          <w:b/>
          <w:i/>
          <w:lang w:val="vi-VN"/>
        </w:rPr>
        <w:t>.13.</w:t>
      </w:r>
      <w:r w:rsidRPr="00454A79">
        <w:rPr>
          <w:lang w:val="vi-VN"/>
        </w:rPr>
        <w:t xml:space="preserve"> Số cán bộ nghiên cứu (tính theo đầu người) </w:t>
      </w:r>
    </w:p>
    <w:p w:rsidR="00A50899" w:rsidRPr="00454A79" w:rsidRDefault="00A50899" w:rsidP="00A50899">
      <w:pPr>
        <w:pStyle w:val="khcnvnTenBang"/>
        <w:spacing w:before="200"/>
        <w:rPr>
          <w:lang w:val="vi-VN"/>
        </w:rPr>
      </w:pPr>
      <w:r w:rsidRPr="00454A79">
        <w:rPr>
          <w:lang w:val="vi-VN"/>
        </w:rPr>
        <w:t>trên vạn dân của một số quốc gia</w:t>
      </w:r>
      <w:bookmarkEnd w:id="33"/>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3488"/>
        <w:gridCol w:w="1917"/>
      </w:tblGrid>
      <w:tr w:rsidR="00A50899" w:rsidRPr="00634468" w:rsidTr="00A324B6">
        <w:trPr>
          <w:trHeight w:val="470"/>
          <w:jc w:val="center"/>
        </w:trPr>
        <w:tc>
          <w:tcPr>
            <w:tcW w:w="2020" w:type="pct"/>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A50687" w:rsidRDefault="00A50899" w:rsidP="00A324B6">
            <w:pPr>
              <w:pStyle w:val="Bang2"/>
              <w:spacing w:before="80" w:after="80"/>
              <w:jc w:val="center"/>
              <w:rPr>
                <w:b/>
                <w:sz w:val="18"/>
                <w:szCs w:val="18"/>
              </w:rPr>
            </w:pPr>
            <w:r w:rsidRPr="00A50687">
              <w:rPr>
                <w:b/>
                <w:sz w:val="18"/>
                <w:szCs w:val="18"/>
              </w:rPr>
              <w:t>Quốc gia</w:t>
            </w:r>
          </w:p>
        </w:tc>
        <w:tc>
          <w:tcPr>
            <w:tcW w:w="1923" w:type="pct"/>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A50687" w:rsidRDefault="00A50899" w:rsidP="00A324B6">
            <w:pPr>
              <w:pStyle w:val="Bang2"/>
              <w:spacing w:before="80" w:after="80"/>
              <w:jc w:val="center"/>
              <w:rPr>
                <w:b/>
                <w:sz w:val="18"/>
                <w:szCs w:val="18"/>
              </w:rPr>
            </w:pPr>
            <w:r w:rsidRPr="00A50687">
              <w:rPr>
                <w:b/>
                <w:sz w:val="18"/>
                <w:szCs w:val="18"/>
              </w:rPr>
              <w:t>Bình quân số cán bộ nghiên cứu trên vạn dân</w:t>
            </w:r>
          </w:p>
        </w:tc>
        <w:tc>
          <w:tcPr>
            <w:tcW w:w="1057" w:type="pct"/>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A50687" w:rsidRDefault="00A50899" w:rsidP="00A324B6">
            <w:pPr>
              <w:pStyle w:val="Bang2"/>
              <w:spacing w:before="80" w:after="80"/>
              <w:jc w:val="center"/>
              <w:rPr>
                <w:b/>
                <w:sz w:val="18"/>
                <w:szCs w:val="18"/>
              </w:rPr>
            </w:pPr>
            <w:r w:rsidRPr="00A50687">
              <w:rPr>
                <w:b/>
                <w:sz w:val="18"/>
                <w:szCs w:val="18"/>
              </w:rPr>
              <w:t>Số liệu năm</w:t>
            </w:r>
          </w:p>
        </w:tc>
      </w:tr>
      <w:tr w:rsidR="00A50899" w:rsidRPr="00634468" w:rsidTr="00A324B6">
        <w:trPr>
          <w:trHeight w:val="20"/>
          <w:jc w:val="center"/>
        </w:trPr>
        <w:tc>
          <w:tcPr>
            <w:tcW w:w="2020" w:type="pct"/>
            <w:tcBorders>
              <w:top w:val="single" w:sz="4" w:space="0" w:color="auto"/>
              <w:left w:val="single" w:sz="4" w:space="0" w:color="auto"/>
              <w:bottom w:val="single" w:sz="4" w:space="0" w:color="auto"/>
              <w:right w:val="single" w:sz="4" w:space="0" w:color="auto"/>
            </w:tcBorders>
            <w:vAlign w:val="center"/>
          </w:tcPr>
          <w:p w:rsidR="00A50899" w:rsidRPr="00634468" w:rsidRDefault="00A50899" w:rsidP="00A324B6">
            <w:pPr>
              <w:pStyle w:val="Bang2"/>
              <w:spacing w:before="100" w:after="100"/>
            </w:pPr>
            <w:r w:rsidRPr="00634468">
              <w:t>Trung Quốc</w:t>
            </w:r>
          </w:p>
        </w:tc>
        <w:tc>
          <w:tcPr>
            <w:tcW w:w="1923" w:type="pct"/>
            <w:tcBorders>
              <w:top w:val="single" w:sz="4" w:space="0" w:color="auto"/>
              <w:left w:val="single" w:sz="4" w:space="0" w:color="auto"/>
              <w:bottom w:val="single" w:sz="4" w:space="0" w:color="auto"/>
              <w:right w:val="single" w:sz="4" w:space="0" w:color="auto"/>
            </w:tcBorders>
            <w:vAlign w:val="center"/>
          </w:tcPr>
          <w:p w:rsidR="00A50899" w:rsidRPr="00634468" w:rsidRDefault="00A50899" w:rsidP="00A324B6">
            <w:pPr>
              <w:pStyle w:val="Bang2"/>
              <w:spacing w:before="100" w:after="100"/>
              <w:ind w:right="1056"/>
              <w:jc w:val="right"/>
            </w:pPr>
            <w:r w:rsidRPr="00634468">
              <w:t>15,3</w:t>
            </w:r>
          </w:p>
        </w:tc>
        <w:tc>
          <w:tcPr>
            <w:tcW w:w="1057" w:type="pct"/>
            <w:tcBorders>
              <w:top w:val="single" w:sz="4" w:space="0" w:color="auto"/>
              <w:left w:val="single" w:sz="4" w:space="0" w:color="auto"/>
              <w:bottom w:val="single" w:sz="4" w:space="0" w:color="auto"/>
              <w:right w:val="single" w:sz="4" w:space="0" w:color="auto"/>
            </w:tcBorders>
            <w:vAlign w:val="center"/>
          </w:tcPr>
          <w:p w:rsidR="00A50899" w:rsidRPr="00634468" w:rsidRDefault="00A50899" w:rsidP="00A324B6">
            <w:pPr>
              <w:pStyle w:val="Bang2"/>
              <w:spacing w:before="100" w:after="100"/>
              <w:ind w:right="454"/>
              <w:jc w:val="right"/>
            </w:pPr>
            <w:r w:rsidRPr="00634468">
              <w:t>2012</w:t>
            </w:r>
          </w:p>
        </w:tc>
      </w:tr>
      <w:tr w:rsidR="00A50899" w:rsidRPr="00634468" w:rsidTr="00A324B6">
        <w:trPr>
          <w:trHeight w:val="20"/>
          <w:jc w:val="center"/>
        </w:trPr>
        <w:tc>
          <w:tcPr>
            <w:tcW w:w="2020" w:type="pct"/>
            <w:tcBorders>
              <w:top w:val="single" w:sz="4" w:space="0" w:color="auto"/>
              <w:left w:val="single" w:sz="4" w:space="0" w:color="auto"/>
              <w:bottom w:val="single" w:sz="4" w:space="0" w:color="auto"/>
              <w:right w:val="single" w:sz="4" w:space="0" w:color="auto"/>
            </w:tcBorders>
            <w:vAlign w:val="center"/>
          </w:tcPr>
          <w:p w:rsidR="00A50899" w:rsidRPr="00634468" w:rsidRDefault="00A50899" w:rsidP="00A324B6">
            <w:pPr>
              <w:pStyle w:val="Bang2"/>
              <w:spacing w:before="100" w:after="100"/>
            </w:pPr>
            <w:r w:rsidRPr="00634468">
              <w:t>Nhật Bản</w:t>
            </w:r>
          </w:p>
        </w:tc>
        <w:tc>
          <w:tcPr>
            <w:tcW w:w="1923" w:type="pct"/>
            <w:tcBorders>
              <w:top w:val="single" w:sz="4" w:space="0" w:color="auto"/>
              <w:left w:val="single" w:sz="4" w:space="0" w:color="auto"/>
              <w:bottom w:val="single" w:sz="4" w:space="0" w:color="auto"/>
              <w:right w:val="single" w:sz="4" w:space="0" w:color="auto"/>
            </w:tcBorders>
            <w:vAlign w:val="center"/>
          </w:tcPr>
          <w:p w:rsidR="00A50899" w:rsidRPr="00634468" w:rsidRDefault="00A50899" w:rsidP="00A324B6">
            <w:pPr>
              <w:pStyle w:val="Bang2"/>
              <w:spacing w:before="100" w:after="100"/>
              <w:ind w:right="1056"/>
              <w:jc w:val="right"/>
            </w:pPr>
            <w:r w:rsidRPr="00634468">
              <w:t>70,2</w:t>
            </w:r>
          </w:p>
        </w:tc>
        <w:tc>
          <w:tcPr>
            <w:tcW w:w="1057" w:type="pct"/>
            <w:tcBorders>
              <w:top w:val="single" w:sz="4" w:space="0" w:color="auto"/>
              <w:left w:val="single" w:sz="4" w:space="0" w:color="auto"/>
              <w:bottom w:val="single" w:sz="4" w:space="0" w:color="auto"/>
              <w:right w:val="single" w:sz="4" w:space="0" w:color="auto"/>
            </w:tcBorders>
            <w:vAlign w:val="center"/>
          </w:tcPr>
          <w:p w:rsidR="00A50899" w:rsidRPr="00634468" w:rsidRDefault="00A50899" w:rsidP="00A324B6">
            <w:pPr>
              <w:pStyle w:val="Bang2"/>
              <w:spacing w:before="100" w:after="100"/>
              <w:ind w:right="454"/>
              <w:jc w:val="right"/>
            </w:pPr>
            <w:r w:rsidRPr="00634468">
              <w:t>2013</w:t>
            </w:r>
          </w:p>
        </w:tc>
      </w:tr>
      <w:tr w:rsidR="00A50899" w:rsidRPr="00634468" w:rsidTr="00A324B6">
        <w:trPr>
          <w:trHeight w:val="20"/>
          <w:jc w:val="center"/>
        </w:trPr>
        <w:tc>
          <w:tcPr>
            <w:tcW w:w="2020" w:type="pct"/>
            <w:tcBorders>
              <w:top w:val="single" w:sz="4" w:space="0" w:color="auto"/>
              <w:left w:val="single" w:sz="4" w:space="0" w:color="auto"/>
              <w:bottom w:val="single" w:sz="4" w:space="0" w:color="auto"/>
              <w:right w:val="single" w:sz="4" w:space="0" w:color="auto"/>
            </w:tcBorders>
            <w:vAlign w:val="center"/>
          </w:tcPr>
          <w:p w:rsidR="00A50899" w:rsidRPr="00634468" w:rsidRDefault="00A50899" w:rsidP="00A324B6">
            <w:pPr>
              <w:pStyle w:val="Bang2"/>
              <w:spacing w:before="100" w:after="100"/>
            </w:pPr>
            <w:r w:rsidRPr="00634468">
              <w:t>Hàn Quốc</w:t>
            </w:r>
          </w:p>
        </w:tc>
        <w:tc>
          <w:tcPr>
            <w:tcW w:w="1923" w:type="pct"/>
            <w:tcBorders>
              <w:top w:val="single" w:sz="4" w:space="0" w:color="auto"/>
              <w:left w:val="single" w:sz="4" w:space="0" w:color="auto"/>
              <w:bottom w:val="single" w:sz="4" w:space="0" w:color="auto"/>
              <w:right w:val="single" w:sz="4" w:space="0" w:color="auto"/>
            </w:tcBorders>
            <w:vAlign w:val="center"/>
          </w:tcPr>
          <w:p w:rsidR="00A50899" w:rsidRPr="00634468" w:rsidRDefault="00A50899" w:rsidP="00A324B6">
            <w:pPr>
              <w:pStyle w:val="Bang2"/>
              <w:spacing w:before="100" w:after="100"/>
              <w:ind w:right="1056"/>
              <w:jc w:val="right"/>
            </w:pPr>
            <w:r w:rsidRPr="00634468">
              <w:t>82,0</w:t>
            </w:r>
          </w:p>
        </w:tc>
        <w:tc>
          <w:tcPr>
            <w:tcW w:w="1057" w:type="pct"/>
            <w:tcBorders>
              <w:top w:val="single" w:sz="4" w:space="0" w:color="auto"/>
              <w:left w:val="single" w:sz="4" w:space="0" w:color="auto"/>
              <w:bottom w:val="single" w:sz="4" w:space="0" w:color="auto"/>
              <w:right w:val="single" w:sz="4" w:space="0" w:color="auto"/>
            </w:tcBorders>
            <w:vAlign w:val="center"/>
          </w:tcPr>
          <w:p w:rsidR="00A50899" w:rsidRPr="00634468" w:rsidRDefault="00A50899" w:rsidP="00A324B6">
            <w:pPr>
              <w:pStyle w:val="Bang2"/>
              <w:spacing w:before="100" w:after="100"/>
              <w:ind w:right="454"/>
              <w:jc w:val="right"/>
            </w:pPr>
            <w:r w:rsidRPr="00634468">
              <w:t>2013</w:t>
            </w:r>
          </w:p>
        </w:tc>
      </w:tr>
      <w:tr w:rsidR="00A50899" w:rsidRPr="00634468" w:rsidTr="00A324B6">
        <w:trPr>
          <w:trHeight w:val="20"/>
          <w:jc w:val="center"/>
        </w:trPr>
        <w:tc>
          <w:tcPr>
            <w:tcW w:w="2020" w:type="pct"/>
            <w:tcBorders>
              <w:top w:val="single" w:sz="4" w:space="0" w:color="auto"/>
              <w:left w:val="single" w:sz="4" w:space="0" w:color="auto"/>
              <w:bottom w:val="single" w:sz="4" w:space="0" w:color="auto"/>
              <w:right w:val="single" w:sz="4" w:space="0" w:color="auto"/>
            </w:tcBorders>
            <w:vAlign w:val="center"/>
          </w:tcPr>
          <w:p w:rsidR="00A50899" w:rsidRPr="00634468" w:rsidRDefault="00A50899" w:rsidP="00A324B6">
            <w:pPr>
              <w:pStyle w:val="Bang2"/>
              <w:spacing w:before="100" w:after="100"/>
            </w:pPr>
            <w:r>
              <w:t>Singapo</w:t>
            </w:r>
          </w:p>
        </w:tc>
        <w:tc>
          <w:tcPr>
            <w:tcW w:w="1923" w:type="pct"/>
            <w:tcBorders>
              <w:top w:val="single" w:sz="4" w:space="0" w:color="auto"/>
              <w:left w:val="single" w:sz="4" w:space="0" w:color="auto"/>
              <w:bottom w:val="single" w:sz="4" w:space="0" w:color="auto"/>
              <w:right w:val="single" w:sz="4" w:space="0" w:color="auto"/>
            </w:tcBorders>
            <w:vAlign w:val="center"/>
          </w:tcPr>
          <w:p w:rsidR="00A50899" w:rsidRPr="00634468" w:rsidRDefault="00A50899" w:rsidP="00A324B6">
            <w:pPr>
              <w:pStyle w:val="Bang2"/>
              <w:spacing w:before="100" w:after="100"/>
              <w:ind w:right="1056"/>
              <w:jc w:val="right"/>
            </w:pPr>
            <w:r w:rsidRPr="00634468">
              <w:t>74,8</w:t>
            </w:r>
          </w:p>
        </w:tc>
        <w:tc>
          <w:tcPr>
            <w:tcW w:w="1057" w:type="pct"/>
            <w:tcBorders>
              <w:top w:val="single" w:sz="4" w:space="0" w:color="auto"/>
              <w:left w:val="single" w:sz="4" w:space="0" w:color="auto"/>
              <w:bottom w:val="single" w:sz="4" w:space="0" w:color="auto"/>
              <w:right w:val="single" w:sz="4" w:space="0" w:color="auto"/>
            </w:tcBorders>
            <w:vAlign w:val="center"/>
          </w:tcPr>
          <w:p w:rsidR="00A50899" w:rsidRPr="00634468" w:rsidRDefault="00A50899" w:rsidP="00A324B6">
            <w:pPr>
              <w:pStyle w:val="Bang2"/>
              <w:spacing w:before="100" w:after="100"/>
              <w:ind w:right="454"/>
              <w:jc w:val="right"/>
            </w:pPr>
            <w:r w:rsidRPr="00634468">
              <w:t>2013</w:t>
            </w:r>
          </w:p>
        </w:tc>
      </w:tr>
      <w:tr w:rsidR="00A50899" w:rsidRPr="00634468" w:rsidTr="00A324B6">
        <w:trPr>
          <w:trHeight w:val="20"/>
          <w:jc w:val="center"/>
        </w:trPr>
        <w:tc>
          <w:tcPr>
            <w:tcW w:w="2020" w:type="pct"/>
            <w:tcBorders>
              <w:top w:val="single" w:sz="4" w:space="0" w:color="auto"/>
              <w:left w:val="single" w:sz="4" w:space="0" w:color="auto"/>
              <w:bottom w:val="single" w:sz="4" w:space="0" w:color="auto"/>
              <w:right w:val="single" w:sz="4" w:space="0" w:color="auto"/>
            </w:tcBorders>
            <w:vAlign w:val="center"/>
          </w:tcPr>
          <w:p w:rsidR="00A50899" w:rsidRPr="00634468" w:rsidRDefault="00A50899" w:rsidP="00A324B6">
            <w:pPr>
              <w:pStyle w:val="Bang2"/>
              <w:spacing w:before="100" w:after="100"/>
            </w:pPr>
            <w:r w:rsidRPr="00634468">
              <w:t>Việt Nam</w:t>
            </w:r>
          </w:p>
        </w:tc>
        <w:tc>
          <w:tcPr>
            <w:tcW w:w="1923"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Pr="00634468" w:rsidRDefault="00A50899" w:rsidP="00A324B6">
            <w:pPr>
              <w:pStyle w:val="Bang2"/>
              <w:spacing w:before="100" w:after="100"/>
              <w:ind w:right="1056"/>
              <w:jc w:val="right"/>
            </w:pPr>
            <w:r w:rsidRPr="00634468">
              <w:t>14,3</w:t>
            </w:r>
          </w:p>
        </w:tc>
        <w:tc>
          <w:tcPr>
            <w:tcW w:w="1057" w:type="pct"/>
            <w:tcBorders>
              <w:top w:val="single" w:sz="4" w:space="0" w:color="auto"/>
              <w:left w:val="single" w:sz="4" w:space="0" w:color="auto"/>
              <w:bottom w:val="single" w:sz="4" w:space="0" w:color="auto"/>
              <w:right w:val="single" w:sz="4" w:space="0" w:color="auto"/>
            </w:tcBorders>
            <w:shd w:val="clear" w:color="auto" w:fill="FFFFFF"/>
            <w:vAlign w:val="center"/>
          </w:tcPr>
          <w:p w:rsidR="00A50899" w:rsidRPr="00634468" w:rsidRDefault="00A50899" w:rsidP="00A324B6">
            <w:pPr>
              <w:pStyle w:val="Bang2"/>
              <w:spacing w:before="100" w:after="100"/>
              <w:ind w:right="454"/>
              <w:jc w:val="right"/>
            </w:pPr>
            <w:r w:rsidRPr="00634468">
              <w:t>2013</w:t>
            </w:r>
          </w:p>
        </w:tc>
      </w:tr>
    </w:tbl>
    <w:p w:rsidR="00A50899" w:rsidRPr="00634468" w:rsidRDefault="00A50899" w:rsidP="00A50899">
      <w:pPr>
        <w:pStyle w:val="nguon"/>
        <w:spacing w:line="269" w:lineRule="auto"/>
      </w:pPr>
      <w:r w:rsidRPr="001F5AC1">
        <w:t>Nguồn:</w:t>
      </w:r>
      <w:r w:rsidRPr="00634468">
        <w:t xml:space="preserve"> OECD.stat </w:t>
      </w:r>
      <w:r w:rsidRPr="00A5591F">
        <w:t>(</w:t>
      </w:r>
      <w:hyperlink r:id="rId16" w:history="1">
        <w:r w:rsidRPr="00A5591F">
          <w:rPr>
            <w:rStyle w:val="Hyperlink"/>
            <w:color w:val="000000"/>
            <w:u w:val="none"/>
          </w:rPr>
          <w:t>http://stats.oecd.org/Index.aspx?DataSetCode</w:t>
        </w:r>
      </w:hyperlink>
      <w:r w:rsidRPr="00A5591F">
        <w:t>=PERS_OCCUP); WORLDBANK.org (</w:t>
      </w:r>
      <w:hyperlink r:id="rId17" w:history="1">
        <w:r w:rsidRPr="00A5591F">
          <w:rPr>
            <w:rStyle w:val="Hyperlink"/>
            <w:color w:val="000000"/>
            <w:u w:val="none"/>
          </w:rPr>
          <w:t>http://data.worldbank.org/indicator/SP.POP.SCIE.RD.P6</w:t>
        </w:r>
      </w:hyperlink>
      <w:r w:rsidRPr="00A5591F">
        <w:t xml:space="preserve">); </w:t>
      </w:r>
      <w:r w:rsidRPr="00634468">
        <w:t>và tổng hợp từ Điều tra NC&amp;PT 2014 và Điều tra doanh nghiệp 2014.</w:t>
      </w:r>
    </w:p>
    <w:p w:rsidR="00A50899" w:rsidRPr="00454A79" w:rsidRDefault="00A50899" w:rsidP="00A50899">
      <w:pPr>
        <w:pStyle w:val="111khcnvn"/>
        <w:rPr>
          <w:lang w:val="vi-VN"/>
        </w:rPr>
      </w:pPr>
      <w:bookmarkStart w:id="34" w:name="_Toc451518366"/>
      <w:r w:rsidRPr="00320ECA">
        <w:rPr>
          <w:rFonts w:ascii="Times New Roman" w:hAnsi="Times New Roman"/>
        </w:rPr>
        <w:t>1</w:t>
      </w:r>
      <w:r w:rsidRPr="00320ECA">
        <w:rPr>
          <w:rFonts w:ascii="Times New Roman" w:hAnsi="Times New Roman"/>
          <w:lang w:val="vi-VN"/>
        </w:rPr>
        <w:t>.</w:t>
      </w:r>
      <w:r w:rsidRPr="00454A79">
        <w:rPr>
          <w:lang w:val="vi-VN"/>
        </w:rPr>
        <w:t>2.3. Tống số cán bộ nghiên cứu (tính theo FTE)</w:t>
      </w:r>
      <w:bookmarkEnd w:id="34"/>
    </w:p>
    <w:p w:rsidR="00A50899" w:rsidRDefault="00A50899" w:rsidP="00A50899">
      <w:pPr>
        <w:pStyle w:val="bodyA0"/>
        <w:spacing w:before="100" w:line="300" w:lineRule="auto"/>
      </w:pPr>
      <w:r>
        <w:t>Theo kết quả nghiên cứu của Bộ Khoa học và Công nghệ</w:t>
      </w:r>
      <w:r w:rsidRPr="00C90593">
        <w:rPr>
          <w:vertAlign w:val="superscript"/>
        </w:rPr>
        <w:t>(</w:t>
      </w:r>
      <w:r w:rsidRPr="00C90593">
        <w:rPr>
          <w:rStyle w:val="FootnoteReference"/>
        </w:rPr>
        <w:footnoteReference w:id="4"/>
      </w:r>
      <w:r w:rsidRPr="00C90593">
        <w:rPr>
          <w:vertAlign w:val="superscript"/>
        </w:rPr>
        <w:t>)</w:t>
      </w:r>
      <w:r>
        <w:t xml:space="preserve">, cán bộ nghiên cứu trong các tổ chức NC&amp;PT dành 100% thời gian cho hoạt động NC&amp;PT; cán bộ nghiên cứu trong các cơ sở giáo dục đại học dành 25%; cán bộ nghiên cứu ở khu vực hành chính sự nghiệp dành 16%, ở khu vực doanh nghiệp dành 70% và ở các tổ chức phi lợi nhuận dành 36% thời gian cho hoạt động NC&amp;PT. Với kết quả đó, tổng số cán bộ nghiên cứu của Việt Nam (tính theo FTE) năm 2013 là 61.663 người </w:t>
      </w:r>
      <w:r>
        <w:rPr>
          <w:lang w:val="vi-VN"/>
        </w:rPr>
        <w:t xml:space="preserve">(Bảng </w:t>
      </w:r>
      <w:r>
        <w:rPr>
          <w:lang w:val="en-US"/>
        </w:rPr>
        <w:t>1</w:t>
      </w:r>
      <w:r>
        <w:rPr>
          <w:lang w:val="vi-VN"/>
        </w:rPr>
        <w:t>.1</w:t>
      </w:r>
      <w:r>
        <w:t>4</w:t>
      </w:r>
      <w:r>
        <w:rPr>
          <w:lang w:val="vi-VN"/>
        </w:rPr>
        <w:t xml:space="preserve">) </w:t>
      </w:r>
      <w:r>
        <w:t xml:space="preserve">và bình quân có 6,8 cán bộ nghiên cứu trên một vạn dân (Bảng </w:t>
      </w:r>
      <w:r>
        <w:rPr>
          <w:lang w:val="en-US"/>
        </w:rPr>
        <w:t>1</w:t>
      </w:r>
      <w:r>
        <w:t>.15). Các chỉ tiêu chiến lược về nhân lực nghiên cứu và phát triển của Việt Nam đều tính theo FTE.</w:t>
      </w:r>
    </w:p>
    <w:p w:rsidR="00320ECA" w:rsidRDefault="00A50899" w:rsidP="00A50899">
      <w:pPr>
        <w:pStyle w:val="khcnvnTenBang"/>
        <w:keepNext w:val="0"/>
        <w:spacing w:before="200"/>
      </w:pPr>
      <w:bookmarkStart w:id="35" w:name="_Toc453342470"/>
      <w:r>
        <w:rPr>
          <w:b/>
          <w:i/>
        </w:rPr>
        <w:t xml:space="preserve">Bảng </w:t>
      </w:r>
      <w:r w:rsidR="00320ECA">
        <w:rPr>
          <w:b/>
          <w:i/>
        </w:rPr>
        <w:t>1</w:t>
      </w:r>
      <w:r>
        <w:rPr>
          <w:b/>
          <w:i/>
        </w:rPr>
        <w:t>.14.</w:t>
      </w:r>
      <w:r>
        <w:t xml:space="preserve"> Cán bộ nghiên cứu theo khu vực hoạt động </w:t>
      </w:r>
    </w:p>
    <w:p w:rsidR="00A50899" w:rsidRDefault="00A50899" w:rsidP="00A50899">
      <w:pPr>
        <w:pStyle w:val="khcnvnTenBang"/>
        <w:keepNext w:val="0"/>
        <w:spacing w:before="200"/>
      </w:pPr>
      <w:r>
        <w:t>(số người và tính theo FTE)</w:t>
      </w:r>
      <w:bookmarkEnd w:id="35"/>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1562"/>
        <w:gridCol w:w="1968"/>
        <w:gridCol w:w="1602"/>
      </w:tblGrid>
      <w:tr w:rsidR="00A50899" w:rsidRPr="001F5AC1" w:rsidTr="00A324B6">
        <w:trPr>
          <w:trHeight w:val="23"/>
          <w:jc w:val="center"/>
        </w:trPr>
        <w:tc>
          <w:tcPr>
            <w:tcW w:w="2194" w:type="pct"/>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1F5AC1" w:rsidRDefault="00A50899" w:rsidP="00A324B6">
            <w:pPr>
              <w:pStyle w:val="Bang2"/>
              <w:keepNext w:val="0"/>
              <w:spacing w:before="20" w:after="20"/>
              <w:jc w:val="center"/>
              <w:rPr>
                <w:b/>
              </w:rPr>
            </w:pPr>
            <w:r w:rsidRPr="001F5AC1">
              <w:rPr>
                <w:b/>
              </w:rPr>
              <w:t>Khu vực hoạt động</w:t>
            </w:r>
          </w:p>
        </w:tc>
        <w:tc>
          <w:tcPr>
            <w:tcW w:w="854" w:type="pct"/>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1F5AC1" w:rsidRDefault="00A50899" w:rsidP="00A324B6">
            <w:pPr>
              <w:pStyle w:val="Bang2"/>
              <w:keepNext w:val="0"/>
              <w:spacing w:before="20" w:after="20"/>
              <w:jc w:val="center"/>
              <w:rPr>
                <w:b/>
              </w:rPr>
            </w:pPr>
            <w:r w:rsidRPr="001F5AC1">
              <w:rPr>
                <w:b/>
              </w:rPr>
              <w:t>Số người</w:t>
            </w:r>
          </w:p>
        </w:tc>
        <w:tc>
          <w:tcPr>
            <w:tcW w:w="1076" w:type="pct"/>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1F5AC1" w:rsidRDefault="00A50899" w:rsidP="00A324B6">
            <w:pPr>
              <w:pStyle w:val="Bang2"/>
              <w:keepNext w:val="0"/>
              <w:spacing w:before="20" w:after="20"/>
              <w:jc w:val="center"/>
              <w:rPr>
                <w:b/>
              </w:rPr>
            </w:pPr>
            <w:r w:rsidRPr="001F5AC1">
              <w:rPr>
                <w:b/>
              </w:rPr>
              <w:t>Thời gian cho NC&amp;PT (%)</w:t>
            </w:r>
          </w:p>
        </w:tc>
        <w:tc>
          <w:tcPr>
            <w:tcW w:w="876" w:type="pct"/>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1F5AC1" w:rsidRDefault="00A50899" w:rsidP="00A324B6">
            <w:pPr>
              <w:pStyle w:val="Bang2"/>
              <w:keepNext w:val="0"/>
              <w:spacing w:before="20" w:after="20"/>
              <w:jc w:val="center"/>
              <w:rPr>
                <w:rFonts w:cs="Arial"/>
                <w:b/>
              </w:rPr>
            </w:pPr>
            <w:r w:rsidRPr="001F5AC1">
              <w:rPr>
                <w:b/>
              </w:rPr>
              <w:t>FTE</w:t>
            </w:r>
          </w:p>
          <w:p w:rsidR="00A50899" w:rsidRPr="001F5AC1" w:rsidRDefault="00A50899" w:rsidP="00A324B6">
            <w:pPr>
              <w:pStyle w:val="Bang2"/>
              <w:keepNext w:val="0"/>
              <w:spacing w:before="20" w:after="20"/>
              <w:jc w:val="center"/>
              <w:rPr>
                <w:b/>
              </w:rPr>
            </w:pPr>
            <w:r w:rsidRPr="001F5AC1">
              <w:rPr>
                <w:b/>
              </w:rPr>
              <w:t>(03=01x02)</w:t>
            </w:r>
          </w:p>
        </w:tc>
      </w:tr>
      <w:tr w:rsidR="00A50899" w:rsidTr="00A324B6">
        <w:trPr>
          <w:trHeight w:val="23"/>
          <w:jc w:val="center"/>
        </w:trPr>
        <w:tc>
          <w:tcPr>
            <w:tcW w:w="2194"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20" w:after="20"/>
              <w:rPr>
                <w:rFonts w:cs="Arial"/>
              </w:rPr>
            </w:pPr>
            <w:r>
              <w:t>Cán bộ nghiên cứu</w:t>
            </w:r>
          </w:p>
          <w:p w:rsidR="00A50899" w:rsidRDefault="00A50899" w:rsidP="00A324B6">
            <w:pPr>
              <w:pStyle w:val="Bang2"/>
              <w:keepNext w:val="0"/>
              <w:spacing w:before="20" w:after="20"/>
            </w:pPr>
            <w:r>
              <w:t>Chia theo khu vực hoạt động:</w:t>
            </w:r>
          </w:p>
        </w:tc>
        <w:tc>
          <w:tcPr>
            <w:tcW w:w="854"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184"/>
              <w:jc w:val="right"/>
            </w:pPr>
            <w:r>
              <w:t>128.997</w:t>
            </w:r>
          </w:p>
        </w:tc>
        <w:tc>
          <w:tcPr>
            <w:tcW w:w="1076"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502"/>
              <w:jc w:val="right"/>
            </w:pPr>
          </w:p>
        </w:tc>
        <w:tc>
          <w:tcPr>
            <w:tcW w:w="876"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216"/>
              <w:jc w:val="right"/>
            </w:pPr>
            <w:r>
              <w:t>61.663</w:t>
            </w:r>
          </w:p>
        </w:tc>
      </w:tr>
      <w:tr w:rsidR="00A50899" w:rsidTr="00A324B6">
        <w:trPr>
          <w:trHeight w:val="23"/>
          <w:jc w:val="center"/>
        </w:trPr>
        <w:tc>
          <w:tcPr>
            <w:tcW w:w="2194"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20" w:after="20"/>
            </w:pPr>
            <w:r>
              <w:t>Các viện, trung tâm NC&amp;PT</w:t>
            </w:r>
          </w:p>
        </w:tc>
        <w:tc>
          <w:tcPr>
            <w:tcW w:w="854"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184"/>
              <w:jc w:val="right"/>
            </w:pPr>
            <w:r>
              <w:t>29.820</w:t>
            </w:r>
          </w:p>
        </w:tc>
        <w:tc>
          <w:tcPr>
            <w:tcW w:w="1076"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502"/>
              <w:jc w:val="right"/>
            </w:pPr>
            <w:r>
              <w:t>100</w:t>
            </w:r>
          </w:p>
        </w:tc>
        <w:tc>
          <w:tcPr>
            <w:tcW w:w="876"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216"/>
              <w:jc w:val="right"/>
            </w:pPr>
            <w:r>
              <w:t>29.820</w:t>
            </w:r>
          </w:p>
        </w:tc>
      </w:tr>
      <w:tr w:rsidR="00A50899" w:rsidTr="00A324B6">
        <w:trPr>
          <w:trHeight w:val="23"/>
          <w:jc w:val="center"/>
        </w:trPr>
        <w:tc>
          <w:tcPr>
            <w:tcW w:w="2194"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20" w:after="20"/>
            </w:pPr>
            <w:r>
              <w:t>Trường đại học</w:t>
            </w:r>
          </w:p>
        </w:tc>
        <w:tc>
          <w:tcPr>
            <w:tcW w:w="854"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184"/>
              <w:jc w:val="right"/>
            </w:pPr>
            <w:r>
              <w:t>63.435</w:t>
            </w:r>
          </w:p>
        </w:tc>
        <w:tc>
          <w:tcPr>
            <w:tcW w:w="1076"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502"/>
              <w:jc w:val="right"/>
            </w:pPr>
            <w:r>
              <w:t>25</w:t>
            </w:r>
          </w:p>
        </w:tc>
        <w:tc>
          <w:tcPr>
            <w:tcW w:w="876"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216"/>
              <w:jc w:val="right"/>
            </w:pPr>
            <w:r>
              <w:t>15.859</w:t>
            </w:r>
          </w:p>
        </w:tc>
      </w:tr>
      <w:tr w:rsidR="00A50899" w:rsidTr="00A324B6">
        <w:trPr>
          <w:trHeight w:val="23"/>
          <w:jc w:val="center"/>
        </w:trPr>
        <w:tc>
          <w:tcPr>
            <w:tcW w:w="2194"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20" w:after="20"/>
            </w:pPr>
            <w:r>
              <w:t xml:space="preserve">Cơ quan hành chính  </w:t>
            </w:r>
          </w:p>
        </w:tc>
        <w:tc>
          <w:tcPr>
            <w:tcW w:w="854"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184"/>
              <w:jc w:val="right"/>
            </w:pPr>
            <w:r>
              <w:t>8.460</w:t>
            </w:r>
          </w:p>
        </w:tc>
        <w:tc>
          <w:tcPr>
            <w:tcW w:w="1076"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502"/>
              <w:jc w:val="right"/>
            </w:pPr>
            <w:r>
              <w:t>16</w:t>
            </w:r>
          </w:p>
        </w:tc>
        <w:tc>
          <w:tcPr>
            <w:tcW w:w="876"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216"/>
              <w:jc w:val="right"/>
            </w:pPr>
            <w:r>
              <w:t>1.354</w:t>
            </w:r>
          </w:p>
        </w:tc>
      </w:tr>
      <w:tr w:rsidR="00A50899" w:rsidTr="00A324B6">
        <w:trPr>
          <w:trHeight w:val="23"/>
          <w:jc w:val="center"/>
        </w:trPr>
        <w:tc>
          <w:tcPr>
            <w:tcW w:w="2194"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20" w:after="20"/>
            </w:pPr>
            <w:r>
              <w:t>Đơn vị sự nghiệp khác</w:t>
            </w:r>
          </w:p>
        </w:tc>
        <w:tc>
          <w:tcPr>
            <w:tcW w:w="854"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184"/>
              <w:jc w:val="right"/>
            </w:pPr>
            <w:r>
              <w:t>7.495</w:t>
            </w:r>
          </w:p>
        </w:tc>
        <w:tc>
          <w:tcPr>
            <w:tcW w:w="1076"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502"/>
              <w:jc w:val="right"/>
            </w:pPr>
            <w:r>
              <w:t>16</w:t>
            </w:r>
          </w:p>
        </w:tc>
        <w:tc>
          <w:tcPr>
            <w:tcW w:w="876"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216"/>
              <w:jc w:val="right"/>
            </w:pPr>
            <w:r>
              <w:t>1.199</w:t>
            </w:r>
          </w:p>
        </w:tc>
      </w:tr>
      <w:tr w:rsidR="00A50899" w:rsidTr="00A324B6">
        <w:trPr>
          <w:trHeight w:val="23"/>
          <w:jc w:val="center"/>
        </w:trPr>
        <w:tc>
          <w:tcPr>
            <w:tcW w:w="2194"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20" w:after="20"/>
            </w:pPr>
            <w:r>
              <w:lastRenderedPageBreak/>
              <w:t>Doanh nghiệp</w:t>
            </w:r>
          </w:p>
        </w:tc>
        <w:tc>
          <w:tcPr>
            <w:tcW w:w="854" w:type="pct"/>
            <w:tcBorders>
              <w:top w:val="single" w:sz="4" w:space="0" w:color="auto"/>
              <w:left w:val="single" w:sz="4" w:space="0" w:color="auto"/>
              <w:bottom w:val="single" w:sz="4" w:space="0" w:color="auto"/>
              <w:right w:val="single" w:sz="4" w:space="0" w:color="auto"/>
            </w:tcBorders>
            <w:shd w:val="clear" w:color="auto" w:fill="FFFFFF"/>
          </w:tcPr>
          <w:p w:rsidR="00A50899" w:rsidRDefault="00A50899" w:rsidP="00A324B6">
            <w:pPr>
              <w:pStyle w:val="Bang2"/>
              <w:keepNext w:val="0"/>
              <w:spacing w:before="20" w:after="20"/>
              <w:ind w:right="184"/>
              <w:jc w:val="right"/>
            </w:pPr>
            <w:r>
              <w:t>18.553</w:t>
            </w:r>
          </w:p>
        </w:tc>
        <w:tc>
          <w:tcPr>
            <w:tcW w:w="1076" w:type="pct"/>
            <w:tcBorders>
              <w:top w:val="single" w:sz="4" w:space="0" w:color="auto"/>
              <w:left w:val="single" w:sz="4" w:space="0" w:color="auto"/>
              <w:bottom w:val="single" w:sz="4" w:space="0" w:color="auto"/>
              <w:right w:val="single" w:sz="4" w:space="0" w:color="auto"/>
            </w:tcBorders>
            <w:shd w:val="clear" w:color="auto" w:fill="FFFFFF"/>
          </w:tcPr>
          <w:p w:rsidR="00A50899" w:rsidRDefault="00A50899" w:rsidP="00A324B6">
            <w:pPr>
              <w:pStyle w:val="Bang2"/>
              <w:keepNext w:val="0"/>
              <w:spacing w:before="20" w:after="20"/>
              <w:ind w:right="502"/>
              <w:jc w:val="right"/>
            </w:pPr>
            <w:r>
              <w:t>70</w:t>
            </w:r>
          </w:p>
        </w:tc>
        <w:tc>
          <w:tcPr>
            <w:tcW w:w="876" w:type="pct"/>
            <w:tcBorders>
              <w:top w:val="single" w:sz="4" w:space="0" w:color="auto"/>
              <w:left w:val="single" w:sz="4" w:space="0" w:color="auto"/>
              <w:bottom w:val="single" w:sz="4" w:space="0" w:color="auto"/>
              <w:right w:val="single" w:sz="4" w:space="0" w:color="auto"/>
            </w:tcBorders>
            <w:shd w:val="clear" w:color="auto" w:fill="FFFFFF"/>
          </w:tcPr>
          <w:p w:rsidR="00A50899" w:rsidRDefault="00A50899" w:rsidP="00A324B6">
            <w:pPr>
              <w:pStyle w:val="Bang2"/>
              <w:keepNext w:val="0"/>
              <w:spacing w:before="20" w:after="20"/>
              <w:ind w:right="216"/>
              <w:jc w:val="right"/>
            </w:pPr>
            <w:r>
              <w:t>12.987</w:t>
            </w:r>
          </w:p>
        </w:tc>
      </w:tr>
      <w:tr w:rsidR="00A50899" w:rsidTr="00A324B6">
        <w:trPr>
          <w:trHeight w:val="23"/>
          <w:jc w:val="center"/>
        </w:trPr>
        <w:tc>
          <w:tcPr>
            <w:tcW w:w="2194"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20" w:after="20"/>
            </w:pPr>
            <w:r>
              <w:t>Phi lợi nhuận</w:t>
            </w:r>
          </w:p>
        </w:tc>
        <w:tc>
          <w:tcPr>
            <w:tcW w:w="854" w:type="pct"/>
            <w:tcBorders>
              <w:top w:val="single" w:sz="4" w:space="0" w:color="auto"/>
              <w:left w:val="single" w:sz="4" w:space="0" w:color="auto"/>
              <w:bottom w:val="single" w:sz="4" w:space="0" w:color="auto"/>
              <w:right w:val="single" w:sz="4" w:space="0" w:color="auto"/>
            </w:tcBorders>
            <w:shd w:val="clear" w:color="auto" w:fill="FFFFFF"/>
          </w:tcPr>
          <w:p w:rsidR="00A50899" w:rsidRDefault="00A50899" w:rsidP="00A324B6">
            <w:pPr>
              <w:pStyle w:val="Bang2"/>
              <w:keepNext w:val="0"/>
              <w:spacing w:before="20" w:after="20"/>
              <w:ind w:right="184"/>
              <w:jc w:val="right"/>
            </w:pPr>
            <w:r>
              <w:t>1.234</w:t>
            </w:r>
          </w:p>
        </w:tc>
        <w:tc>
          <w:tcPr>
            <w:tcW w:w="1076" w:type="pct"/>
            <w:tcBorders>
              <w:top w:val="single" w:sz="4" w:space="0" w:color="auto"/>
              <w:left w:val="single" w:sz="4" w:space="0" w:color="auto"/>
              <w:bottom w:val="single" w:sz="4" w:space="0" w:color="auto"/>
              <w:right w:val="single" w:sz="4" w:space="0" w:color="auto"/>
            </w:tcBorders>
            <w:shd w:val="clear" w:color="auto" w:fill="FFFFFF"/>
          </w:tcPr>
          <w:p w:rsidR="00A50899" w:rsidRDefault="00A50899" w:rsidP="00A324B6">
            <w:pPr>
              <w:pStyle w:val="Bang2"/>
              <w:keepNext w:val="0"/>
              <w:spacing w:before="20" w:after="20"/>
              <w:ind w:right="502"/>
              <w:jc w:val="right"/>
            </w:pPr>
            <w:r>
              <w:t>36</w:t>
            </w:r>
          </w:p>
        </w:tc>
        <w:tc>
          <w:tcPr>
            <w:tcW w:w="876" w:type="pct"/>
            <w:tcBorders>
              <w:top w:val="single" w:sz="4" w:space="0" w:color="auto"/>
              <w:left w:val="single" w:sz="4" w:space="0" w:color="auto"/>
              <w:bottom w:val="single" w:sz="4" w:space="0" w:color="auto"/>
              <w:right w:val="single" w:sz="4" w:space="0" w:color="auto"/>
            </w:tcBorders>
            <w:shd w:val="clear" w:color="auto" w:fill="FFFFFF"/>
          </w:tcPr>
          <w:p w:rsidR="00A50899" w:rsidRDefault="00A50899" w:rsidP="00A324B6">
            <w:pPr>
              <w:pStyle w:val="Bang2"/>
              <w:keepNext w:val="0"/>
              <w:spacing w:before="20" w:after="20"/>
              <w:ind w:right="216"/>
              <w:jc w:val="right"/>
            </w:pPr>
            <w:r>
              <w:t>444</w:t>
            </w:r>
          </w:p>
        </w:tc>
      </w:tr>
    </w:tbl>
    <w:p w:rsidR="00A50899" w:rsidRDefault="00A50899" w:rsidP="00A50899">
      <w:pPr>
        <w:pStyle w:val="nguon"/>
      </w:pPr>
      <w:r>
        <w:t>Nguồn: Tổng hợp từ Điều tra NC&amp;PT 2014 và Điều tra doanh nghiệp 2014.</w:t>
      </w:r>
    </w:p>
    <w:p w:rsidR="00320ECA" w:rsidRDefault="00A50899" w:rsidP="00A50899">
      <w:pPr>
        <w:pStyle w:val="khcnvnTenBang"/>
        <w:keepNext w:val="0"/>
        <w:spacing w:before="160" w:after="80"/>
        <w:rPr>
          <w:lang w:val="vi-VN"/>
        </w:rPr>
      </w:pPr>
      <w:bookmarkStart w:id="36" w:name="_Toc453342471"/>
      <w:r w:rsidRPr="00454A79">
        <w:rPr>
          <w:b/>
          <w:i/>
          <w:lang w:val="vi-VN"/>
        </w:rPr>
        <w:t xml:space="preserve">Bảng </w:t>
      </w:r>
      <w:r w:rsidR="00320ECA">
        <w:rPr>
          <w:b/>
          <w:i/>
        </w:rPr>
        <w:t>1</w:t>
      </w:r>
      <w:r w:rsidRPr="00454A79">
        <w:rPr>
          <w:b/>
          <w:i/>
          <w:lang w:val="vi-VN"/>
        </w:rPr>
        <w:t xml:space="preserve">.15. </w:t>
      </w:r>
      <w:r w:rsidRPr="00454A79">
        <w:rPr>
          <w:lang w:val="vi-VN"/>
        </w:rPr>
        <w:t xml:space="preserve">Số cán bộ nghiên cứu (FTE) trên vạn dân của </w:t>
      </w:r>
    </w:p>
    <w:p w:rsidR="00A50899" w:rsidRPr="00454A79" w:rsidRDefault="00A50899" w:rsidP="00A50899">
      <w:pPr>
        <w:pStyle w:val="khcnvnTenBang"/>
        <w:keepNext w:val="0"/>
        <w:spacing w:before="160" w:after="80"/>
        <w:rPr>
          <w:spacing w:val="-4"/>
          <w:lang w:val="vi-VN"/>
        </w:rPr>
      </w:pPr>
      <w:r w:rsidRPr="00454A79">
        <w:rPr>
          <w:lang w:val="vi-VN"/>
        </w:rPr>
        <w:t xml:space="preserve">một số quốc gia và </w:t>
      </w:r>
      <w:r>
        <w:t>khu vực</w:t>
      </w:r>
      <w:r w:rsidRPr="00454A79">
        <w:rPr>
          <w:lang w:val="vi-VN"/>
        </w:rPr>
        <w:t xml:space="preserve"> </w:t>
      </w:r>
      <w:bookmarkEnd w:id="36"/>
    </w:p>
    <w:tbl>
      <w:tblPr>
        <w:tblW w:w="4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4294"/>
        <w:gridCol w:w="1470"/>
      </w:tblGrid>
      <w:tr w:rsidR="00A50899" w:rsidTr="00A324B6">
        <w:trPr>
          <w:trHeight w:val="20"/>
          <w:jc w:val="center"/>
        </w:trPr>
        <w:tc>
          <w:tcPr>
            <w:tcW w:w="1805" w:type="pct"/>
            <w:tcBorders>
              <w:top w:val="single" w:sz="4" w:space="0" w:color="auto"/>
              <w:left w:val="single" w:sz="4" w:space="0" w:color="auto"/>
              <w:bottom w:val="single" w:sz="4" w:space="0" w:color="auto"/>
              <w:right w:val="single" w:sz="4" w:space="0" w:color="auto"/>
            </w:tcBorders>
            <w:shd w:val="clear" w:color="auto" w:fill="66CCFF"/>
            <w:vAlign w:val="center"/>
          </w:tcPr>
          <w:p w:rsidR="00A50899" w:rsidRDefault="00A50899" w:rsidP="00A324B6">
            <w:pPr>
              <w:pStyle w:val="Bang2"/>
              <w:keepNext w:val="0"/>
              <w:spacing w:before="20" w:after="20"/>
              <w:jc w:val="center"/>
            </w:pPr>
            <w:r>
              <w:rPr>
                <w:b/>
              </w:rPr>
              <w:t>Quốc gia/khu vực</w:t>
            </w:r>
          </w:p>
        </w:tc>
        <w:tc>
          <w:tcPr>
            <w:tcW w:w="2380" w:type="pct"/>
            <w:tcBorders>
              <w:top w:val="single" w:sz="4" w:space="0" w:color="auto"/>
              <w:left w:val="single" w:sz="4" w:space="0" w:color="auto"/>
              <w:bottom w:val="single" w:sz="4" w:space="0" w:color="auto"/>
              <w:right w:val="single" w:sz="4" w:space="0" w:color="auto"/>
            </w:tcBorders>
            <w:shd w:val="clear" w:color="auto" w:fill="66CCFF"/>
          </w:tcPr>
          <w:p w:rsidR="00A50899" w:rsidRDefault="00A50899" w:rsidP="00A324B6">
            <w:pPr>
              <w:pStyle w:val="Bang2"/>
              <w:keepNext w:val="0"/>
              <w:spacing w:before="20" w:after="20"/>
              <w:jc w:val="center"/>
            </w:pPr>
            <w:r>
              <w:rPr>
                <w:b/>
              </w:rPr>
              <w:t>Bình quân số cán bộ nghiên cứu trên vạn dân</w:t>
            </w:r>
          </w:p>
        </w:tc>
        <w:tc>
          <w:tcPr>
            <w:tcW w:w="815" w:type="pct"/>
            <w:tcBorders>
              <w:top w:val="single" w:sz="4" w:space="0" w:color="auto"/>
              <w:left w:val="single" w:sz="4" w:space="0" w:color="auto"/>
              <w:bottom w:val="single" w:sz="4" w:space="0" w:color="auto"/>
              <w:right w:val="single" w:sz="4" w:space="0" w:color="auto"/>
            </w:tcBorders>
            <w:shd w:val="clear" w:color="auto" w:fill="66CCFF"/>
          </w:tcPr>
          <w:p w:rsidR="00A50899" w:rsidRPr="00FD53ED" w:rsidRDefault="00A50899" w:rsidP="00A324B6">
            <w:pPr>
              <w:pStyle w:val="Bang2"/>
              <w:keepNext w:val="0"/>
              <w:spacing w:before="20" w:after="20"/>
              <w:jc w:val="center"/>
              <w:rPr>
                <w:b/>
              </w:rPr>
            </w:pPr>
            <w:r w:rsidRPr="00FD53ED">
              <w:rPr>
                <w:b/>
              </w:rPr>
              <w:t>Số liệu năm</w:t>
            </w:r>
          </w:p>
        </w:tc>
      </w:tr>
      <w:tr w:rsidR="00A50899" w:rsidTr="00A324B6">
        <w:trPr>
          <w:trHeight w:val="20"/>
          <w:jc w:val="center"/>
        </w:trPr>
        <w:tc>
          <w:tcPr>
            <w:tcW w:w="1805"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20" w:after="20"/>
            </w:pPr>
            <w:r>
              <w:t>EU (28 nước)</w:t>
            </w:r>
          </w:p>
        </w:tc>
        <w:tc>
          <w:tcPr>
            <w:tcW w:w="2380"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1400"/>
              <w:jc w:val="right"/>
            </w:pPr>
            <w:r>
              <w:t>34,1</w:t>
            </w:r>
          </w:p>
        </w:tc>
        <w:tc>
          <w:tcPr>
            <w:tcW w:w="815"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227"/>
              <w:jc w:val="right"/>
            </w:pPr>
            <w:r>
              <w:t>2013</w:t>
            </w:r>
          </w:p>
        </w:tc>
      </w:tr>
      <w:tr w:rsidR="00A50899" w:rsidTr="00A324B6">
        <w:trPr>
          <w:trHeight w:val="20"/>
          <w:jc w:val="center"/>
        </w:trPr>
        <w:tc>
          <w:tcPr>
            <w:tcW w:w="1805"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20" w:after="20"/>
            </w:pPr>
            <w:r>
              <w:t>Hoa Kỳ</w:t>
            </w:r>
          </w:p>
        </w:tc>
        <w:tc>
          <w:tcPr>
            <w:tcW w:w="2380"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1400"/>
              <w:jc w:val="right"/>
            </w:pPr>
            <w:r>
              <w:t>40,3</w:t>
            </w:r>
          </w:p>
        </w:tc>
        <w:tc>
          <w:tcPr>
            <w:tcW w:w="815"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227"/>
              <w:jc w:val="right"/>
            </w:pPr>
            <w:r>
              <w:t>2012</w:t>
            </w:r>
          </w:p>
        </w:tc>
      </w:tr>
      <w:tr w:rsidR="00A50899" w:rsidTr="00A324B6">
        <w:trPr>
          <w:trHeight w:val="20"/>
          <w:jc w:val="center"/>
        </w:trPr>
        <w:tc>
          <w:tcPr>
            <w:tcW w:w="1805"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20" w:after="20"/>
            </w:pPr>
            <w:r>
              <w:t>Liên bang Nga</w:t>
            </w:r>
          </w:p>
        </w:tc>
        <w:tc>
          <w:tcPr>
            <w:tcW w:w="2380"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1400"/>
              <w:jc w:val="right"/>
            </w:pPr>
            <w:r>
              <w:t>30,8</w:t>
            </w:r>
          </w:p>
        </w:tc>
        <w:tc>
          <w:tcPr>
            <w:tcW w:w="815"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227"/>
              <w:jc w:val="right"/>
            </w:pPr>
            <w:r>
              <w:t>2013</w:t>
            </w:r>
          </w:p>
        </w:tc>
      </w:tr>
      <w:tr w:rsidR="00A50899" w:rsidTr="00A324B6">
        <w:trPr>
          <w:trHeight w:val="20"/>
          <w:jc w:val="center"/>
        </w:trPr>
        <w:tc>
          <w:tcPr>
            <w:tcW w:w="1805"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20" w:after="20"/>
            </w:pPr>
            <w:r>
              <w:t>Trung Quốc</w:t>
            </w:r>
          </w:p>
        </w:tc>
        <w:tc>
          <w:tcPr>
            <w:tcW w:w="2380"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1400"/>
              <w:jc w:val="right"/>
            </w:pPr>
            <w:r>
              <w:t>11,0</w:t>
            </w:r>
          </w:p>
        </w:tc>
        <w:tc>
          <w:tcPr>
            <w:tcW w:w="815"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227"/>
              <w:jc w:val="right"/>
            </w:pPr>
            <w:r>
              <w:t>2012</w:t>
            </w:r>
          </w:p>
        </w:tc>
      </w:tr>
      <w:tr w:rsidR="00A50899" w:rsidTr="00A324B6">
        <w:trPr>
          <w:trHeight w:val="20"/>
          <w:jc w:val="center"/>
        </w:trPr>
        <w:tc>
          <w:tcPr>
            <w:tcW w:w="1805"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20" w:after="20"/>
            </w:pPr>
            <w:r>
              <w:t>Nhật Bản</w:t>
            </w:r>
          </w:p>
        </w:tc>
        <w:tc>
          <w:tcPr>
            <w:tcW w:w="2380"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1400"/>
              <w:jc w:val="right"/>
            </w:pPr>
            <w:r>
              <w:t>52,0</w:t>
            </w:r>
          </w:p>
        </w:tc>
        <w:tc>
          <w:tcPr>
            <w:tcW w:w="815"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227"/>
              <w:jc w:val="right"/>
            </w:pPr>
            <w:r>
              <w:t>2013</w:t>
            </w:r>
          </w:p>
        </w:tc>
      </w:tr>
      <w:tr w:rsidR="00A50899" w:rsidTr="00A324B6">
        <w:trPr>
          <w:trHeight w:val="20"/>
          <w:jc w:val="center"/>
        </w:trPr>
        <w:tc>
          <w:tcPr>
            <w:tcW w:w="1805"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20" w:after="20"/>
            </w:pPr>
            <w:r>
              <w:t>Hàn Quốc</w:t>
            </w:r>
          </w:p>
        </w:tc>
        <w:tc>
          <w:tcPr>
            <w:tcW w:w="2380"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1400"/>
              <w:jc w:val="right"/>
            </w:pPr>
            <w:r>
              <w:t>64,2</w:t>
            </w:r>
          </w:p>
        </w:tc>
        <w:tc>
          <w:tcPr>
            <w:tcW w:w="815"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227"/>
              <w:jc w:val="right"/>
            </w:pPr>
            <w:r>
              <w:t>2013</w:t>
            </w:r>
          </w:p>
        </w:tc>
      </w:tr>
      <w:tr w:rsidR="00A50899" w:rsidTr="00A324B6">
        <w:trPr>
          <w:trHeight w:val="20"/>
          <w:jc w:val="center"/>
        </w:trPr>
        <w:tc>
          <w:tcPr>
            <w:tcW w:w="1805"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20" w:after="20"/>
            </w:pPr>
            <w:r>
              <w:t>Singapo</w:t>
            </w:r>
          </w:p>
        </w:tc>
        <w:tc>
          <w:tcPr>
            <w:tcW w:w="2380"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1400"/>
              <w:jc w:val="right"/>
            </w:pPr>
            <w:r>
              <w:t>66,7</w:t>
            </w:r>
          </w:p>
        </w:tc>
        <w:tc>
          <w:tcPr>
            <w:tcW w:w="815" w:type="pct"/>
            <w:tcBorders>
              <w:top w:val="single" w:sz="4" w:space="0" w:color="auto"/>
              <w:left w:val="single" w:sz="4" w:space="0" w:color="auto"/>
              <w:bottom w:val="single" w:sz="4" w:space="0" w:color="auto"/>
              <w:right w:val="single" w:sz="4" w:space="0" w:color="auto"/>
            </w:tcBorders>
          </w:tcPr>
          <w:p w:rsidR="00A50899" w:rsidRDefault="00A50899" w:rsidP="00A324B6">
            <w:pPr>
              <w:pStyle w:val="Bang2"/>
              <w:keepNext w:val="0"/>
              <w:spacing w:before="20" w:after="20"/>
              <w:ind w:right="227"/>
              <w:jc w:val="right"/>
            </w:pPr>
            <w:r>
              <w:t>2013</w:t>
            </w:r>
          </w:p>
        </w:tc>
      </w:tr>
      <w:tr w:rsidR="00A50899" w:rsidTr="00A324B6">
        <w:trPr>
          <w:trHeight w:val="20"/>
          <w:jc w:val="center"/>
        </w:trPr>
        <w:tc>
          <w:tcPr>
            <w:tcW w:w="1805"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20" w:after="20"/>
            </w:pPr>
            <w:r>
              <w:t>Malaysia</w:t>
            </w:r>
          </w:p>
        </w:tc>
        <w:tc>
          <w:tcPr>
            <w:tcW w:w="2380" w:type="pct"/>
            <w:tcBorders>
              <w:top w:val="single" w:sz="4" w:space="0" w:color="auto"/>
              <w:left w:val="single" w:sz="4" w:space="0" w:color="auto"/>
              <w:bottom w:val="single" w:sz="4" w:space="0" w:color="auto"/>
              <w:right w:val="single" w:sz="4" w:space="0" w:color="auto"/>
            </w:tcBorders>
            <w:shd w:val="clear" w:color="auto" w:fill="FFFFFF"/>
          </w:tcPr>
          <w:p w:rsidR="00A50899" w:rsidRDefault="00A50899" w:rsidP="00A324B6">
            <w:pPr>
              <w:pStyle w:val="Bang2"/>
              <w:keepNext w:val="0"/>
              <w:spacing w:before="20" w:after="20"/>
              <w:ind w:right="1400"/>
              <w:jc w:val="right"/>
            </w:pPr>
            <w:r>
              <w:t>17,9</w:t>
            </w:r>
          </w:p>
        </w:tc>
        <w:tc>
          <w:tcPr>
            <w:tcW w:w="815" w:type="pct"/>
            <w:tcBorders>
              <w:top w:val="single" w:sz="4" w:space="0" w:color="auto"/>
              <w:left w:val="single" w:sz="4" w:space="0" w:color="auto"/>
              <w:bottom w:val="single" w:sz="4" w:space="0" w:color="auto"/>
              <w:right w:val="single" w:sz="4" w:space="0" w:color="auto"/>
            </w:tcBorders>
            <w:shd w:val="clear" w:color="auto" w:fill="FFFFFF"/>
          </w:tcPr>
          <w:p w:rsidR="00A50899" w:rsidRDefault="00A50899" w:rsidP="00A324B6">
            <w:pPr>
              <w:pStyle w:val="Bang2"/>
              <w:keepNext w:val="0"/>
              <w:spacing w:before="20" w:after="20"/>
              <w:ind w:right="227"/>
              <w:jc w:val="right"/>
            </w:pPr>
            <w:r>
              <w:t>2012</w:t>
            </w:r>
          </w:p>
        </w:tc>
      </w:tr>
      <w:tr w:rsidR="00A50899" w:rsidTr="00A324B6">
        <w:trPr>
          <w:trHeight w:val="20"/>
          <w:jc w:val="center"/>
        </w:trPr>
        <w:tc>
          <w:tcPr>
            <w:tcW w:w="1805"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20" w:after="20"/>
            </w:pPr>
            <w:r>
              <w:t>Thái Lan</w:t>
            </w:r>
          </w:p>
        </w:tc>
        <w:tc>
          <w:tcPr>
            <w:tcW w:w="2380" w:type="pct"/>
            <w:tcBorders>
              <w:top w:val="single" w:sz="4" w:space="0" w:color="auto"/>
              <w:left w:val="single" w:sz="4" w:space="0" w:color="auto"/>
              <w:bottom w:val="single" w:sz="4" w:space="0" w:color="auto"/>
              <w:right w:val="single" w:sz="4" w:space="0" w:color="auto"/>
            </w:tcBorders>
            <w:shd w:val="clear" w:color="auto" w:fill="FFFFFF"/>
          </w:tcPr>
          <w:p w:rsidR="00A50899" w:rsidRDefault="00A50899" w:rsidP="00A324B6">
            <w:pPr>
              <w:pStyle w:val="Bang2"/>
              <w:keepNext w:val="0"/>
              <w:spacing w:before="20" w:after="20"/>
              <w:ind w:right="1400"/>
              <w:jc w:val="right"/>
            </w:pPr>
            <w:r>
              <w:t>5,4</w:t>
            </w:r>
          </w:p>
        </w:tc>
        <w:tc>
          <w:tcPr>
            <w:tcW w:w="815" w:type="pct"/>
            <w:tcBorders>
              <w:top w:val="single" w:sz="4" w:space="0" w:color="auto"/>
              <w:left w:val="single" w:sz="4" w:space="0" w:color="auto"/>
              <w:bottom w:val="single" w:sz="4" w:space="0" w:color="auto"/>
              <w:right w:val="single" w:sz="4" w:space="0" w:color="auto"/>
            </w:tcBorders>
            <w:shd w:val="clear" w:color="auto" w:fill="FFFFFF"/>
          </w:tcPr>
          <w:p w:rsidR="00A50899" w:rsidRDefault="00A50899" w:rsidP="00A324B6">
            <w:pPr>
              <w:pStyle w:val="Bang2"/>
              <w:keepNext w:val="0"/>
              <w:spacing w:before="20" w:after="20"/>
              <w:ind w:right="227"/>
              <w:jc w:val="right"/>
            </w:pPr>
            <w:r>
              <w:t>2011</w:t>
            </w:r>
          </w:p>
        </w:tc>
      </w:tr>
      <w:tr w:rsidR="00A50899" w:rsidTr="00A324B6">
        <w:trPr>
          <w:trHeight w:val="20"/>
          <w:jc w:val="center"/>
        </w:trPr>
        <w:tc>
          <w:tcPr>
            <w:tcW w:w="1805"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20" w:after="20"/>
            </w:pPr>
            <w:r>
              <w:t>Inđônêsia</w:t>
            </w:r>
          </w:p>
        </w:tc>
        <w:tc>
          <w:tcPr>
            <w:tcW w:w="2380" w:type="pct"/>
            <w:tcBorders>
              <w:top w:val="single" w:sz="4" w:space="0" w:color="auto"/>
              <w:left w:val="single" w:sz="4" w:space="0" w:color="auto"/>
              <w:bottom w:val="single" w:sz="4" w:space="0" w:color="auto"/>
              <w:right w:val="single" w:sz="4" w:space="0" w:color="auto"/>
            </w:tcBorders>
            <w:shd w:val="clear" w:color="auto" w:fill="FFFFFF"/>
          </w:tcPr>
          <w:p w:rsidR="00A50899" w:rsidRDefault="00A50899" w:rsidP="00A324B6">
            <w:pPr>
              <w:pStyle w:val="Bang2"/>
              <w:keepNext w:val="0"/>
              <w:spacing w:before="20" w:after="20"/>
              <w:ind w:right="1400"/>
              <w:jc w:val="right"/>
            </w:pPr>
            <w:r>
              <w:t>2,1</w:t>
            </w:r>
          </w:p>
        </w:tc>
        <w:tc>
          <w:tcPr>
            <w:tcW w:w="815" w:type="pct"/>
            <w:tcBorders>
              <w:top w:val="single" w:sz="4" w:space="0" w:color="auto"/>
              <w:left w:val="single" w:sz="4" w:space="0" w:color="auto"/>
              <w:bottom w:val="single" w:sz="4" w:space="0" w:color="auto"/>
              <w:right w:val="single" w:sz="4" w:space="0" w:color="auto"/>
            </w:tcBorders>
            <w:shd w:val="clear" w:color="auto" w:fill="FFFFFF"/>
          </w:tcPr>
          <w:p w:rsidR="00A50899" w:rsidRDefault="00A50899" w:rsidP="00A324B6">
            <w:pPr>
              <w:pStyle w:val="Bang2"/>
              <w:keepNext w:val="0"/>
              <w:spacing w:before="20" w:after="20"/>
              <w:ind w:right="227"/>
              <w:jc w:val="right"/>
            </w:pPr>
            <w:r>
              <w:t>2009</w:t>
            </w:r>
          </w:p>
        </w:tc>
      </w:tr>
      <w:tr w:rsidR="00A50899" w:rsidTr="00A324B6">
        <w:trPr>
          <w:trHeight w:val="20"/>
          <w:jc w:val="center"/>
        </w:trPr>
        <w:tc>
          <w:tcPr>
            <w:tcW w:w="1805"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20" w:after="20"/>
            </w:pPr>
            <w:r>
              <w:t>Philipin</w:t>
            </w:r>
          </w:p>
        </w:tc>
        <w:tc>
          <w:tcPr>
            <w:tcW w:w="2380" w:type="pct"/>
            <w:tcBorders>
              <w:top w:val="single" w:sz="4" w:space="0" w:color="auto"/>
              <w:left w:val="single" w:sz="4" w:space="0" w:color="auto"/>
              <w:bottom w:val="single" w:sz="4" w:space="0" w:color="auto"/>
              <w:right w:val="single" w:sz="4" w:space="0" w:color="auto"/>
            </w:tcBorders>
            <w:shd w:val="clear" w:color="auto" w:fill="FFFFFF"/>
          </w:tcPr>
          <w:p w:rsidR="00A50899" w:rsidRDefault="00A50899" w:rsidP="00A324B6">
            <w:pPr>
              <w:pStyle w:val="Bang2"/>
              <w:keepNext w:val="0"/>
              <w:spacing w:before="20" w:after="20"/>
              <w:ind w:right="1400"/>
              <w:jc w:val="right"/>
            </w:pPr>
            <w:r>
              <w:t>0,7</w:t>
            </w:r>
          </w:p>
        </w:tc>
        <w:tc>
          <w:tcPr>
            <w:tcW w:w="815" w:type="pct"/>
            <w:tcBorders>
              <w:top w:val="single" w:sz="4" w:space="0" w:color="auto"/>
              <w:left w:val="single" w:sz="4" w:space="0" w:color="auto"/>
              <w:bottom w:val="single" w:sz="4" w:space="0" w:color="auto"/>
              <w:right w:val="single" w:sz="4" w:space="0" w:color="auto"/>
            </w:tcBorders>
            <w:shd w:val="clear" w:color="auto" w:fill="FFFFFF"/>
          </w:tcPr>
          <w:p w:rsidR="00A50899" w:rsidRDefault="00A50899" w:rsidP="00A324B6">
            <w:pPr>
              <w:pStyle w:val="Bang2"/>
              <w:keepNext w:val="0"/>
              <w:spacing w:before="20" w:after="20"/>
              <w:ind w:right="227"/>
              <w:jc w:val="right"/>
            </w:pPr>
            <w:r>
              <w:t>2007</w:t>
            </w:r>
          </w:p>
        </w:tc>
      </w:tr>
      <w:tr w:rsidR="00A50899" w:rsidTr="00A324B6">
        <w:trPr>
          <w:trHeight w:val="20"/>
          <w:jc w:val="center"/>
        </w:trPr>
        <w:tc>
          <w:tcPr>
            <w:tcW w:w="1805" w:type="pct"/>
            <w:tcBorders>
              <w:top w:val="single" w:sz="4" w:space="0" w:color="auto"/>
              <w:left w:val="single" w:sz="4" w:space="0" w:color="auto"/>
              <w:bottom w:val="single" w:sz="4" w:space="0" w:color="auto"/>
              <w:right w:val="single" w:sz="4" w:space="0" w:color="auto"/>
            </w:tcBorders>
            <w:vAlign w:val="center"/>
          </w:tcPr>
          <w:p w:rsidR="00A50899" w:rsidRDefault="00A50899" w:rsidP="00A324B6">
            <w:pPr>
              <w:pStyle w:val="Bang2"/>
              <w:keepNext w:val="0"/>
              <w:spacing w:before="20" w:after="20"/>
            </w:pPr>
            <w:r>
              <w:t>Việt Nam</w:t>
            </w:r>
          </w:p>
        </w:tc>
        <w:tc>
          <w:tcPr>
            <w:tcW w:w="2380" w:type="pct"/>
            <w:tcBorders>
              <w:top w:val="single" w:sz="4" w:space="0" w:color="auto"/>
              <w:left w:val="single" w:sz="4" w:space="0" w:color="auto"/>
              <w:bottom w:val="single" w:sz="4" w:space="0" w:color="auto"/>
              <w:right w:val="single" w:sz="4" w:space="0" w:color="auto"/>
            </w:tcBorders>
            <w:shd w:val="clear" w:color="auto" w:fill="FFFFFF"/>
          </w:tcPr>
          <w:p w:rsidR="00A50899" w:rsidRDefault="00A50899" w:rsidP="00A324B6">
            <w:pPr>
              <w:pStyle w:val="Bang2"/>
              <w:keepNext w:val="0"/>
              <w:spacing w:before="20" w:after="20"/>
              <w:ind w:right="1400"/>
              <w:jc w:val="right"/>
            </w:pPr>
            <w:r>
              <w:t>6,8</w:t>
            </w:r>
          </w:p>
        </w:tc>
        <w:tc>
          <w:tcPr>
            <w:tcW w:w="815" w:type="pct"/>
            <w:tcBorders>
              <w:top w:val="single" w:sz="4" w:space="0" w:color="auto"/>
              <w:left w:val="single" w:sz="4" w:space="0" w:color="auto"/>
              <w:bottom w:val="single" w:sz="4" w:space="0" w:color="auto"/>
              <w:right w:val="single" w:sz="4" w:space="0" w:color="auto"/>
            </w:tcBorders>
            <w:shd w:val="clear" w:color="auto" w:fill="FFFFFF"/>
          </w:tcPr>
          <w:p w:rsidR="00A50899" w:rsidRDefault="00A50899" w:rsidP="00A324B6">
            <w:pPr>
              <w:pStyle w:val="Bang2"/>
              <w:keepNext w:val="0"/>
              <w:spacing w:before="20" w:after="20"/>
              <w:ind w:right="227"/>
              <w:jc w:val="right"/>
            </w:pPr>
            <w:r>
              <w:t>2013</w:t>
            </w:r>
          </w:p>
        </w:tc>
      </w:tr>
    </w:tbl>
    <w:p w:rsidR="00A50899" w:rsidRDefault="00A50899" w:rsidP="00A50899">
      <w:pPr>
        <w:pStyle w:val="nguon"/>
      </w:pPr>
      <w:r w:rsidRPr="004828BC">
        <w:t>Nguồn: OECD.stat (http://stats.oecd.org/Index.aspx?DataSetCode=PERS_OCCUP); WORLDBANK.org (</w:t>
      </w:r>
      <w:hyperlink r:id="rId18" w:history="1">
        <w:r w:rsidRPr="004828BC">
          <w:rPr>
            <w:rStyle w:val="Hyperlink"/>
            <w:color w:val="000000"/>
            <w:u w:val="none"/>
          </w:rPr>
          <w:t>http://data.worldbank.org/indicator/SP.POP.SCIE.RD.P6</w:t>
        </w:r>
      </w:hyperlink>
      <w:r w:rsidRPr="004828BC">
        <w:t xml:space="preserve">); Current Status on Science and Technology in ASEAN Countries (Tentative edition)- September 2015, Center for Research and Development Strategy- Japan Science and Technology Agancy (2015); EUROSTAT:  </w:t>
      </w:r>
      <w:hyperlink r:id="rId19" w:history="1">
        <w:r w:rsidRPr="004828BC">
          <w:rPr>
            <w:rStyle w:val="Hyperlink"/>
            <w:color w:val="000000"/>
            <w:u w:val="none"/>
          </w:rPr>
          <w:t>http://ec.europa.eu/eurostat/statistics-explained/images/</w:t>
        </w:r>
      </w:hyperlink>
      <w:r w:rsidRPr="00A5591F">
        <w:t xml:space="preserve"> 8/89/Researchers_in_full-time_equivalents_(F</w:t>
      </w:r>
      <w:r>
        <w:t>TE),_by_sector,_2013_(%C2%B9)_YB15.png</w:t>
      </w:r>
      <w:bookmarkEnd w:id="23"/>
    </w:p>
    <w:p w:rsidR="00320ECA" w:rsidRDefault="00A50899" w:rsidP="00A50899">
      <w:pPr>
        <w:pStyle w:val="bodyA0"/>
        <w:spacing w:before="100" w:after="0" w:line="266" w:lineRule="auto"/>
        <w:rPr>
          <w:lang w:val="vi-VN"/>
        </w:rPr>
      </w:pPr>
      <w:bookmarkStart w:id="37" w:name="_Toc451518367"/>
      <w:r w:rsidRPr="00454A79">
        <w:rPr>
          <w:lang w:val="vi-VN"/>
        </w:rPr>
        <w:t>S</w:t>
      </w:r>
      <w:r w:rsidRPr="00DD4858">
        <w:rPr>
          <w:lang w:val="vi-VN"/>
        </w:rPr>
        <w:t>o sánh</w:t>
      </w:r>
      <w:r w:rsidRPr="00454A79">
        <w:rPr>
          <w:lang w:val="vi-VN"/>
        </w:rPr>
        <w:t xml:space="preserve"> </w:t>
      </w:r>
      <w:r w:rsidRPr="00DD4858">
        <w:rPr>
          <w:lang w:val="vi-VN"/>
        </w:rPr>
        <w:t>tỷ lệ</w:t>
      </w:r>
      <w:r w:rsidRPr="00454A79">
        <w:rPr>
          <w:lang w:val="vi-VN"/>
        </w:rPr>
        <w:t xml:space="preserve"> </w:t>
      </w:r>
      <w:r w:rsidRPr="00DD4858">
        <w:rPr>
          <w:lang w:val="vi-VN"/>
        </w:rPr>
        <w:t xml:space="preserve">bình quân </w:t>
      </w:r>
      <w:r w:rsidRPr="00454A79">
        <w:rPr>
          <w:lang w:val="vi-VN"/>
        </w:rPr>
        <w:t xml:space="preserve">cán bộ nghiên cứu trên một vạn dân </w:t>
      </w:r>
      <w:r w:rsidRPr="00DD4858">
        <w:rPr>
          <w:lang w:val="vi-VN"/>
        </w:rPr>
        <w:t xml:space="preserve">của Việt Nam với </w:t>
      </w:r>
      <w:r w:rsidRPr="00454A79">
        <w:rPr>
          <w:lang w:val="vi-VN"/>
        </w:rPr>
        <w:t xml:space="preserve">một số quốc gia </w:t>
      </w:r>
      <w:r w:rsidRPr="00DD4858">
        <w:rPr>
          <w:lang w:val="vi-VN"/>
        </w:rPr>
        <w:t xml:space="preserve">trong khu vực và trên thế giới, cho thấy tỷ lệ </w:t>
      </w:r>
      <w:r w:rsidRPr="00454A79">
        <w:rPr>
          <w:lang w:val="vi-VN"/>
        </w:rPr>
        <w:t xml:space="preserve">bình quân cán bộ nghiên cứu trên vạn dân của EU cao gấp 5 lần, </w:t>
      </w:r>
    </w:p>
    <w:p w:rsidR="00A50899" w:rsidRPr="00454A79" w:rsidRDefault="00A50899" w:rsidP="00A50899">
      <w:pPr>
        <w:pStyle w:val="bodyA0"/>
        <w:spacing w:before="100" w:after="0" w:line="266" w:lineRule="auto"/>
        <w:rPr>
          <w:lang w:val="vi-VN"/>
        </w:rPr>
      </w:pPr>
      <w:r w:rsidRPr="00454A79">
        <w:rPr>
          <w:lang w:val="vi-VN"/>
        </w:rPr>
        <w:t>Hoa Kỳ gấp 6 lần, Liên bang Nga gấp 4,5 lần, Hàn Quốc gấp 9,4 lần, Nhật Bản gấp 7,6 lần, Trung Quốc gấp 1,6 lần; trong khu vực ASEAN, bình quân cán bộ nghiên cứu trên vạn dân của Singapo gấp 9,8 lần, Malaysia gấp 2,6 lần so với</w:t>
      </w:r>
      <w:r w:rsidRPr="00DD4858">
        <w:rPr>
          <w:lang w:val="vi-VN"/>
        </w:rPr>
        <w:t xml:space="preserve"> Việt Nam </w:t>
      </w:r>
      <w:r w:rsidRPr="00454A79">
        <w:rPr>
          <w:lang w:val="vi-VN"/>
        </w:rPr>
        <w:t xml:space="preserve">(Bảng </w:t>
      </w:r>
      <w:r w:rsidR="00320ECA">
        <w:rPr>
          <w:lang w:val="en-US"/>
        </w:rPr>
        <w:t>1</w:t>
      </w:r>
      <w:r w:rsidRPr="00454A79">
        <w:rPr>
          <w:lang w:val="vi-VN"/>
        </w:rPr>
        <w:t>.15).</w:t>
      </w:r>
    </w:p>
    <w:p w:rsidR="00A50899" w:rsidRPr="00320ECA" w:rsidRDefault="00320ECA" w:rsidP="00A50899">
      <w:pPr>
        <w:pStyle w:val="11khcnvn"/>
        <w:rPr>
          <w:rFonts w:ascii="Times New Roman" w:hAnsi="Times New Roman"/>
        </w:rPr>
      </w:pPr>
      <w:r w:rsidRPr="00320ECA">
        <w:rPr>
          <w:rFonts w:ascii="Times New Roman" w:hAnsi="Times New Roman"/>
          <w:lang w:val="en-US"/>
        </w:rPr>
        <w:t>1</w:t>
      </w:r>
      <w:r w:rsidR="00A50899" w:rsidRPr="00320ECA">
        <w:rPr>
          <w:rFonts w:ascii="Times New Roman" w:hAnsi="Times New Roman"/>
        </w:rPr>
        <w:t>.3. Tài chính cho khoa học và công nghệ</w:t>
      </w:r>
      <w:bookmarkEnd w:id="37"/>
    </w:p>
    <w:p w:rsidR="00A50899" w:rsidRPr="00454A79" w:rsidRDefault="00320ECA" w:rsidP="00A50899">
      <w:pPr>
        <w:pStyle w:val="111khcnvn"/>
        <w:spacing w:before="120"/>
        <w:rPr>
          <w:lang w:val="vi-VN"/>
        </w:rPr>
      </w:pPr>
      <w:bookmarkStart w:id="38" w:name="_Toc451518368"/>
      <w:r w:rsidRPr="00320ECA">
        <w:rPr>
          <w:rFonts w:ascii="Times New Roman" w:hAnsi="Times New Roman"/>
        </w:rPr>
        <w:t>1</w:t>
      </w:r>
      <w:r w:rsidR="00A50899" w:rsidRPr="00320ECA">
        <w:rPr>
          <w:rFonts w:ascii="Times New Roman" w:hAnsi="Times New Roman"/>
          <w:lang w:val="vi-VN"/>
        </w:rPr>
        <w:t>.3.1. Đầu tư</w:t>
      </w:r>
      <w:r w:rsidR="00A50899" w:rsidRPr="00082F76">
        <w:rPr>
          <w:lang w:val="vi-VN"/>
        </w:rPr>
        <w:t xml:space="preserve"> cho khoa học và công nghệ từ ngân sách nhà nước</w:t>
      </w:r>
      <w:bookmarkEnd w:id="38"/>
    </w:p>
    <w:p w:rsidR="00A50899" w:rsidRDefault="00A50899" w:rsidP="00A50899">
      <w:pPr>
        <w:pStyle w:val="bodyA0"/>
        <w:spacing w:before="120" w:after="0" w:line="264" w:lineRule="auto"/>
      </w:pPr>
      <w:r w:rsidRPr="00874A77">
        <w:t>Hiện nay</w:t>
      </w:r>
      <w:r>
        <w:t>,</w:t>
      </w:r>
      <w:r w:rsidRPr="00874A77">
        <w:t xml:space="preserve"> hoạt động KH&amp;CN </w:t>
      </w:r>
      <w:r>
        <w:t>phần lớn</w:t>
      </w:r>
      <w:r w:rsidRPr="00874A77">
        <w:t xml:space="preserve"> được đầu tư từ ngân sách nhà nước (NSNN)</w:t>
      </w:r>
      <w:r>
        <w:t xml:space="preserve"> với</w:t>
      </w:r>
      <w:r w:rsidRPr="00874A77">
        <w:t xml:space="preserve"> mức </w:t>
      </w:r>
      <w:r>
        <w:t>kinh phí</w:t>
      </w:r>
      <w:r w:rsidRPr="00874A77">
        <w:t xml:space="preserve"> </w:t>
      </w:r>
      <w:r>
        <w:t xml:space="preserve">vào </w:t>
      </w:r>
      <w:r w:rsidRPr="00874A77">
        <w:t>khoảng 1,4</w:t>
      </w:r>
      <w:r>
        <w:t xml:space="preserve"> </w:t>
      </w:r>
      <w:r w:rsidRPr="00874A77">
        <w:t>-</w:t>
      </w:r>
      <w:r>
        <w:t xml:space="preserve"> </w:t>
      </w:r>
      <w:r w:rsidRPr="00874A77">
        <w:t xml:space="preserve">1,85% tổng chi NSNN </w:t>
      </w:r>
      <w:r>
        <w:t>hằng năm</w:t>
      </w:r>
      <w:r w:rsidRPr="00874A77">
        <w:t xml:space="preserve"> (Bảng </w:t>
      </w:r>
      <w:r w:rsidR="00320ECA">
        <w:rPr>
          <w:lang w:val="en-US"/>
        </w:rPr>
        <w:t>1</w:t>
      </w:r>
      <w:r>
        <w:t xml:space="preserve">.16 </w:t>
      </w:r>
      <w:r w:rsidRPr="00874A77">
        <w:t>và Hình</w:t>
      </w:r>
      <w:r>
        <w:t xml:space="preserve"> </w:t>
      </w:r>
      <w:r w:rsidR="00320ECA">
        <w:rPr>
          <w:lang w:val="en-US"/>
        </w:rPr>
        <w:t>1</w:t>
      </w:r>
      <w:r>
        <w:t>.10</w:t>
      </w:r>
      <w:r w:rsidRPr="00874A77">
        <w:t xml:space="preserve">). </w:t>
      </w:r>
      <w:r>
        <w:t>Đ</w:t>
      </w:r>
      <w:r w:rsidRPr="00874A77">
        <w:t>ầu tư từ NSNN cho KH&amp;CN năm 201</w:t>
      </w:r>
      <w:r>
        <w:t xml:space="preserve">5 </w:t>
      </w:r>
      <w:r w:rsidRPr="00874A77">
        <w:t xml:space="preserve">đạt </w:t>
      </w:r>
      <w:r>
        <w:t>khoảng 17.390 tỷ</w:t>
      </w:r>
      <w:r w:rsidRPr="00874A77">
        <w:t xml:space="preserve"> </w:t>
      </w:r>
      <w:r>
        <w:t>đồng, bằng 1,52% tổng chi NSNN, tăng mạnh so với năm trước</w:t>
      </w:r>
      <w:r w:rsidRPr="00874A77">
        <w:t>.</w:t>
      </w:r>
      <w:r>
        <w:t xml:space="preserve"> Tỷ lệ chi cho KH&amp;CN trong chi NSNN đã tăng trở lại sau nhiều năm giảm liên tục từ 1,85% năm 2006 xuống 1,36% năm 2014. </w:t>
      </w:r>
      <w:r w:rsidRPr="00F1222B">
        <w:t>Tính theo tỷ trọng đầu tư cho KH&amp;CN/GDP từ NSNN của Việt Nam giai đoạn 2006</w:t>
      </w:r>
      <w:r>
        <w:t xml:space="preserve"> </w:t>
      </w:r>
      <w:r w:rsidRPr="00F1222B">
        <w:t>-</w:t>
      </w:r>
      <w:r>
        <w:t xml:space="preserve"> </w:t>
      </w:r>
      <w:r w:rsidRPr="00F1222B">
        <w:t>201</w:t>
      </w:r>
      <w:r>
        <w:t>5 cũng</w:t>
      </w:r>
      <w:r w:rsidRPr="00F1222B">
        <w:t xml:space="preserve"> giảm từ 0,51% xuống còn 0,</w:t>
      </w:r>
      <w:r>
        <w:t>41</w:t>
      </w:r>
      <w:r w:rsidRPr="00F1222B">
        <w:t>%</w:t>
      </w:r>
      <w:r>
        <w:t xml:space="preserve"> (Bảng </w:t>
      </w:r>
      <w:r w:rsidR="00320ECA">
        <w:rPr>
          <w:lang w:val="en-US"/>
        </w:rPr>
        <w:t>1</w:t>
      </w:r>
      <w:r>
        <w:t xml:space="preserve">.16, Hình </w:t>
      </w:r>
      <w:r w:rsidR="00320ECA">
        <w:rPr>
          <w:lang w:val="en-US"/>
        </w:rPr>
        <w:t>1</w:t>
      </w:r>
      <w:r>
        <w:t>.11)</w:t>
      </w:r>
      <w:r w:rsidRPr="00F1222B">
        <w:t>.</w:t>
      </w:r>
    </w:p>
    <w:p w:rsidR="00894554" w:rsidRDefault="00894554">
      <w:pPr>
        <w:spacing w:after="160" w:line="259" w:lineRule="auto"/>
        <w:rPr>
          <w:rFonts w:ascii="Arial" w:hAnsi="Arial"/>
          <w:b/>
          <w:bCs/>
          <w:i/>
          <w:iCs/>
          <w:sz w:val="20"/>
          <w:szCs w:val="22"/>
        </w:rPr>
      </w:pPr>
      <w:bookmarkStart w:id="39" w:name="_Toc453342472"/>
      <w:r>
        <w:rPr>
          <w:b/>
          <w:i/>
        </w:rPr>
        <w:br w:type="page"/>
      </w:r>
    </w:p>
    <w:p w:rsidR="00A50899" w:rsidRPr="00874A77" w:rsidRDefault="00A50899" w:rsidP="00A50899">
      <w:pPr>
        <w:pStyle w:val="khcnvnTenBang"/>
        <w:keepNext w:val="0"/>
        <w:spacing w:before="160"/>
      </w:pPr>
      <w:r w:rsidRPr="00874A77">
        <w:rPr>
          <w:b/>
          <w:i/>
        </w:rPr>
        <w:lastRenderedPageBreak/>
        <w:t xml:space="preserve">Bảng </w:t>
      </w:r>
      <w:r w:rsidR="00320ECA">
        <w:rPr>
          <w:b/>
          <w:i/>
        </w:rPr>
        <w:t>1</w:t>
      </w:r>
      <w:r w:rsidRPr="00874A77">
        <w:rPr>
          <w:b/>
          <w:i/>
        </w:rPr>
        <w:t>.1</w:t>
      </w:r>
      <w:r>
        <w:rPr>
          <w:b/>
          <w:i/>
        </w:rPr>
        <w:t>6</w:t>
      </w:r>
      <w:r w:rsidRPr="00874A77">
        <w:t>. Đầu tư từ NSNN cho KH&amp;CN</w:t>
      </w:r>
      <w:bookmarkEnd w:id="39"/>
      <w:r w:rsidRPr="00874A77">
        <w:t xml:space="preserve"> </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885"/>
        <w:gridCol w:w="1887"/>
        <w:gridCol w:w="1887"/>
        <w:gridCol w:w="1885"/>
      </w:tblGrid>
      <w:tr w:rsidR="00A50899" w:rsidRPr="00454A79" w:rsidTr="00A324B6">
        <w:trPr>
          <w:trHeight w:val="20"/>
          <w:tblHeader/>
          <w:jc w:val="center"/>
        </w:trPr>
        <w:tc>
          <w:tcPr>
            <w:tcW w:w="902" w:type="pct"/>
            <w:shd w:val="clear" w:color="auto" w:fill="66CCFF"/>
            <w:tcMar>
              <w:left w:w="57" w:type="dxa"/>
              <w:right w:w="57" w:type="dxa"/>
            </w:tcMar>
            <w:vAlign w:val="center"/>
          </w:tcPr>
          <w:p w:rsidR="00A50899" w:rsidRPr="00880127" w:rsidRDefault="00A50899" w:rsidP="00A324B6">
            <w:pPr>
              <w:pStyle w:val="khcnvntab"/>
              <w:keepNext w:val="0"/>
              <w:spacing w:before="0"/>
              <w:jc w:val="center"/>
              <w:rPr>
                <w:b/>
              </w:rPr>
            </w:pPr>
            <w:r w:rsidRPr="00880127">
              <w:rPr>
                <w:b/>
              </w:rPr>
              <w:t>Năm</w:t>
            </w:r>
          </w:p>
        </w:tc>
        <w:tc>
          <w:tcPr>
            <w:tcW w:w="1024" w:type="pct"/>
            <w:shd w:val="clear" w:color="auto" w:fill="66CCFF"/>
            <w:tcMar>
              <w:left w:w="57" w:type="dxa"/>
              <w:right w:w="57" w:type="dxa"/>
            </w:tcMar>
            <w:vAlign w:val="center"/>
          </w:tcPr>
          <w:p w:rsidR="00320ECA" w:rsidRDefault="00A50899" w:rsidP="00A324B6">
            <w:pPr>
              <w:pStyle w:val="khcnvntab"/>
              <w:keepNext w:val="0"/>
              <w:spacing w:before="0"/>
              <w:jc w:val="center"/>
              <w:rPr>
                <w:b/>
              </w:rPr>
            </w:pPr>
            <w:r w:rsidRPr="00880127">
              <w:rPr>
                <w:b/>
              </w:rPr>
              <w:t xml:space="preserve">Tổng chi cho KH&amp;CN từ NSNN </w:t>
            </w:r>
          </w:p>
          <w:p w:rsidR="00A50899" w:rsidRPr="00880127" w:rsidRDefault="00A50899" w:rsidP="00A324B6">
            <w:pPr>
              <w:pStyle w:val="khcnvntab"/>
              <w:keepNext w:val="0"/>
              <w:spacing w:before="0"/>
              <w:jc w:val="center"/>
              <w:rPr>
                <w:b/>
              </w:rPr>
            </w:pPr>
            <w:r w:rsidRPr="00880127">
              <w:rPr>
                <w:b/>
              </w:rPr>
              <w:t>(tỷ đồng)</w:t>
            </w:r>
          </w:p>
        </w:tc>
        <w:tc>
          <w:tcPr>
            <w:tcW w:w="1025" w:type="pct"/>
            <w:shd w:val="clear" w:color="auto" w:fill="66CCFF"/>
            <w:tcMar>
              <w:left w:w="57" w:type="dxa"/>
              <w:right w:w="57" w:type="dxa"/>
            </w:tcMar>
            <w:vAlign w:val="center"/>
          </w:tcPr>
          <w:p w:rsidR="00A50899" w:rsidRPr="00880127" w:rsidRDefault="00A50899" w:rsidP="00A324B6">
            <w:pPr>
              <w:pStyle w:val="khcnvntab"/>
              <w:keepNext w:val="0"/>
              <w:spacing w:before="0"/>
              <w:jc w:val="center"/>
              <w:rPr>
                <w:b/>
              </w:rPr>
            </w:pPr>
            <w:r w:rsidRPr="00880127">
              <w:rPr>
                <w:b/>
              </w:rPr>
              <w:t>Tỷ lệ chi KH&amp;CN so với tổng chi NSNN (%)</w:t>
            </w:r>
          </w:p>
        </w:tc>
        <w:tc>
          <w:tcPr>
            <w:tcW w:w="1025" w:type="pct"/>
            <w:shd w:val="clear" w:color="auto" w:fill="66CCFF"/>
            <w:tcMar>
              <w:left w:w="57" w:type="dxa"/>
              <w:right w:w="57" w:type="dxa"/>
            </w:tcMar>
            <w:vAlign w:val="center"/>
          </w:tcPr>
          <w:p w:rsidR="00A50899" w:rsidRPr="00880127" w:rsidRDefault="00A50899" w:rsidP="00A324B6">
            <w:pPr>
              <w:pStyle w:val="khcnvntab"/>
              <w:keepNext w:val="0"/>
              <w:spacing w:before="0"/>
              <w:jc w:val="center"/>
              <w:rPr>
                <w:b/>
              </w:rPr>
            </w:pPr>
            <w:r w:rsidRPr="00880127">
              <w:rPr>
                <w:b/>
              </w:rPr>
              <w:t>Tốc độ tăng trưởng kinh phí cho KH&amp;CN (%)</w:t>
            </w:r>
          </w:p>
        </w:tc>
        <w:tc>
          <w:tcPr>
            <w:tcW w:w="1024" w:type="pct"/>
            <w:shd w:val="clear" w:color="auto" w:fill="66CCFF"/>
            <w:vAlign w:val="center"/>
          </w:tcPr>
          <w:p w:rsidR="00A50899" w:rsidRPr="00880127" w:rsidRDefault="00A50899" w:rsidP="00A324B6">
            <w:pPr>
              <w:pStyle w:val="khcnvntab"/>
              <w:keepNext w:val="0"/>
              <w:spacing w:before="0"/>
              <w:jc w:val="center"/>
              <w:rPr>
                <w:b/>
              </w:rPr>
            </w:pPr>
            <w:r w:rsidRPr="00880127">
              <w:rPr>
                <w:b/>
              </w:rPr>
              <w:t xml:space="preserve">Tỷ lệ chi KH&amp;CN </w:t>
            </w:r>
            <w:r w:rsidRPr="00454A79">
              <w:rPr>
                <w:b/>
              </w:rPr>
              <w:t xml:space="preserve">từ NSNN </w:t>
            </w:r>
            <w:r w:rsidRPr="00880127">
              <w:rPr>
                <w:b/>
              </w:rPr>
              <w:t xml:space="preserve">so với </w:t>
            </w:r>
            <w:r w:rsidRPr="00454A79">
              <w:rPr>
                <w:b/>
              </w:rPr>
              <w:t>GDP</w:t>
            </w:r>
            <w:r w:rsidRPr="00880127">
              <w:rPr>
                <w:b/>
              </w:rPr>
              <w:t xml:space="preserve"> (%)</w:t>
            </w:r>
          </w:p>
        </w:tc>
      </w:tr>
      <w:tr w:rsidR="00A50899" w:rsidRPr="00874A77" w:rsidTr="00A324B6">
        <w:trPr>
          <w:trHeight w:val="20"/>
          <w:jc w:val="center"/>
        </w:trPr>
        <w:tc>
          <w:tcPr>
            <w:tcW w:w="902" w:type="pct"/>
            <w:tcMar>
              <w:left w:w="57" w:type="dxa"/>
              <w:right w:w="57" w:type="dxa"/>
            </w:tcMar>
          </w:tcPr>
          <w:p w:rsidR="00A50899" w:rsidRPr="00874A77" w:rsidRDefault="00A50899" w:rsidP="00A324B6">
            <w:pPr>
              <w:pStyle w:val="khcnvntab"/>
              <w:keepNext w:val="0"/>
              <w:spacing w:before="0" w:after="20"/>
              <w:jc w:val="center"/>
            </w:pPr>
            <w:r w:rsidRPr="00874A77">
              <w:t>2006</w:t>
            </w:r>
          </w:p>
        </w:tc>
        <w:tc>
          <w:tcPr>
            <w:tcW w:w="1024" w:type="pct"/>
            <w:tcMar>
              <w:left w:w="57" w:type="dxa"/>
              <w:right w:w="57" w:type="dxa"/>
            </w:tcMar>
            <w:vAlign w:val="center"/>
          </w:tcPr>
          <w:p w:rsidR="00A50899" w:rsidRPr="00874A77" w:rsidRDefault="00A50899" w:rsidP="00A324B6">
            <w:pPr>
              <w:pStyle w:val="khcnvntab"/>
              <w:keepNext w:val="0"/>
              <w:spacing w:before="0" w:after="20"/>
              <w:ind w:right="315"/>
              <w:jc w:val="right"/>
            </w:pPr>
            <w:r w:rsidRPr="00874A77">
              <w:t>5.429</w:t>
            </w:r>
          </w:p>
        </w:tc>
        <w:tc>
          <w:tcPr>
            <w:tcW w:w="1025" w:type="pct"/>
            <w:tcMar>
              <w:left w:w="57" w:type="dxa"/>
              <w:right w:w="57" w:type="dxa"/>
            </w:tcMar>
            <w:vAlign w:val="center"/>
          </w:tcPr>
          <w:p w:rsidR="00A50899" w:rsidRPr="00874A77" w:rsidRDefault="00A50899" w:rsidP="00A324B6">
            <w:pPr>
              <w:pStyle w:val="khcnvntab"/>
              <w:keepNext w:val="0"/>
              <w:spacing w:before="0" w:after="20"/>
              <w:ind w:right="441"/>
              <w:jc w:val="right"/>
            </w:pPr>
            <w:r w:rsidRPr="00874A77">
              <w:t>1,85</w:t>
            </w:r>
          </w:p>
        </w:tc>
        <w:tc>
          <w:tcPr>
            <w:tcW w:w="1025" w:type="pct"/>
            <w:tcMar>
              <w:left w:w="57" w:type="dxa"/>
              <w:right w:w="57" w:type="dxa"/>
            </w:tcMar>
            <w:vAlign w:val="center"/>
          </w:tcPr>
          <w:p w:rsidR="00A50899" w:rsidRPr="00874A77" w:rsidRDefault="00A50899" w:rsidP="00A324B6">
            <w:pPr>
              <w:pStyle w:val="khcnvntab"/>
              <w:keepNext w:val="0"/>
              <w:spacing w:before="0" w:after="20"/>
              <w:ind w:right="441"/>
              <w:jc w:val="right"/>
            </w:pPr>
          </w:p>
        </w:tc>
        <w:tc>
          <w:tcPr>
            <w:tcW w:w="1024" w:type="pct"/>
          </w:tcPr>
          <w:p w:rsidR="00A50899" w:rsidRPr="003F3C4E" w:rsidRDefault="00A50899" w:rsidP="00A324B6">
            <w:pPr>
              <w:pStyle w:val="khcnvntab"/>
              <w:keepNext w:val="0"/>
              <w:spacing w:before="0" w:after="20"/>
              <w:ind w:right="441"/>
              <w:jc w:val="right"/>
              <w:rPr>
                <w:lang w:val="en-GB"/>
              </w:rPr>
            </w:pPr>
            <w:r>
              <w:rPr>
                <w:lang w:val="en-GB"/>
              </w:rPr>
              <w:t>0,51</w:t>
            </w:r>
          </w:p>
        </w:tc>
      </w:tr>
      <w:tr w:rsidR="00A50899" w:rsidRPr="00874A77" w:rsidTr="00A324B6">
        <w:trPr>
          <w:trHeight w:val="20"/>
          <w:jc w:val="center"/>
        </w:trPr>
        <w:tc>
          <w:tcPr>
            <w:tcW w:w="902" w:type="pct"/>
            <w:tcMar>
              <w:left w:w="57" w:type="dxa"/>
              <w:right w:w="57" w:type="dxa"/>
            </w:tcMar>
          </w:tcPr>
          <w:p w:rsidR="00A50899" w:rsidRPr="00874A77" w:rsidRDefault="00A50899" w:rsidP="00A324B6">
            <w:pPr>
              <w:pStyle w:val="khcnvntab"/>
              <w:keepNext w:val="0"/>
              <w:spacing w:before="0" w:after="20"/>
              <w:jc w:val="center"/>
            </w:pPr>
            <w:r w:rsidRPr="00874A77">
              <w:t>2007</w:t>
            </w:r>
          </w:p>
        </w:tc>
        <w:tc>
          <w:tcPr>
            <w:tcW w:w="1024" w:type="pct"/>
            <w:tcMar>
              <w:left w:w="57" w:type="dxa"/>
              <w:right w:w="57" w:type="dxa"/>
            </w:tcMar>
            <w:vAlign w:val="center"/>
          </w:tcPr>
          <w:p w:rsidR="00A50899" w:rsidRPr="00874A77" w:rsidRDefault="00A50899" w:rsidP="00A324B6">
            <w:pPr>
              <w:pStyle w:val="khcnvntab"/>
              <w:keepNext w:val="0"/>
              <w:spacing w:before="0" w:after="20"/>
              <w:ind w:right="315"/>
              <w:jc w:val="right"/>
            </w:pPr>
            <w:r w:rsidRPr="00874A77">
              <w:t>6.310</w:t>
            </w:r>
          </w:p>
        </w:tc>
        <w:tc>
          <w:tcPr>
            <w:tcW w:w="1025" w:type="pct"/>
            <w:tcMar>
              <w:left w:w="57" w:type="dxa"/>
              <w:right w:w="57" w:type="dxa"/>
            </w:tcMar>
            <w:vAlign w:val="center"/>
          </w:tcPr>
          <w:p w:rsidR="00A50899" w:rsidRPr="00874A77" w:rsidRDefault="00A50899" w:rsidP="00A324B6">
            <w:pPr>
              <w:pStyle w:val="khcnvntab"/>
              <w:keepNext w:val="0"/>
              <w:spacing w:before="0" w:after="20"/>
              <w:ind w:right="441"/>
              <w:jc w:val="right"/>
            </w:pPr>
            <w:r w:rsidRPr="00874A77">
              <w:t>1,81</w:t>
            </w:r>
          </w:p>
        </w:tc>
        <w:tc>
          <w:tcPr>
            <w:tcW w:w="1025" w:type="pct"/>
            <w:tcMar>
              <w:left w:w="57" w:type="dxa"/>
              <w:right w:w="57" w:type="dxa"/>
            </w:tcMar>
            <w:vAlign w:val="center"/>
          </w:tcPr>
          <w:p w:rsidR="00A50899" w:rsidRPr="00874A77" w:rsidRDefault="00A50899" w:rsidP="00A324B6">
            <w:pPr>
              <w:pStyle w:val="khcnvntab"/>
              <w:keepNext w:val="0"/>
              <w:spacing w:before="0" w:after="20"/>
              <w:ind w:right="441"/>
              <w:jc w:val="right"/>
            </w:pPr>
            <w:r w:rsidRPr="00874A77">
              <w:t>16,22</w:t>
            </w:r>
          </w:p>
        </w:tc>
        <w:tc>
          <w:tcPr>
            <w:tcW w:w="1024" w:type="pct"/>
          </w:tcPr>
          <w:p w:rsidR="00A50899" w:rsidRPr="003F3C4E" w:rsidRDefault="00A50899" w:rsidP="00A324B6">
            <w:pPr>
              <w:pStyle w:val="khcnvntab"/>
              <w:keepNext w:val="0"/>
              <w:spacing w:before="0" w:after="20"/>
              <w:ind w:right="441"/>
              <w:jc w:val="right"/>
              <w:rPr>
                <w:lang w:val="en-GB"/>
              </w:rPr>
            </w:pPr>
            <w:r>
              <w:rPr>
                <w:lang w:val="en-GB"/>
              </w:rPr>
              <w:t>0,51</w:t>
            </w:r>
          </w:p>
        </w:tc>
      </w:tr>
      <w:tr w:rsidR="00A50899" w:rsidRPr="00874A77" w:rsidTr="00A324B6">
        <w:trPr>
          <w:trHeight w:val="20"/>
          <w:jc w:val="center"/>
        </w:trPr>
        <w:tc>
          <w:tcPr>
            <w:tcW w:w="902" w:type="pct"/>
            <w:tcMar>
              <w:left w:w="57" w:type="dxa"/>
              <w:right w:w="57" w:type="dxa"/>
            </w:tcMar>
          </w:tcPr>
          <w:p w:rsidR="00A50899" w:rsidRPr="00874A77" w:rsidRDefault="00A50899" w:rsidP="00A324B6">
            <w:pPr>
              <w:pStyle w:val="khcnvntab"/>
              <w:keepNext w:val="0"/>
              <w:spacing w:before="0" w:after="20"/>
              <w:jc w:val="center"/>
            </w:pPr>
            <w:r w:rsidRPr="00874A77">
              <w:t>2008</w:t>
            </w:r>
          </w:p>
        </w:tc>
        <w:tc>
          <w:tcPr>
            <w:tcW w:w="1024" w:type="pct"/>
            <w:tcMar>
              <w:left w:w="57" w:type="dxa"/>
              <w:right w:w="57" w:type="dxa"/>
            </w:tcMar>
            <w:vAlign w:val="center"/>
          </w:tcPr>
          <w:p w:rsidR="00A50899" w:rsidRPr="00874A77" w:rsidRDefault="00A50899" w:rsidP="00A324B6">
            <w:pPr>
              <w:pStyle w:val="khcnvntab"/>
              <w:keepNext w:val="0"/>
              <w:spacing w:before="0" w:after="20"/>
              <w:ind w:right="315"/>
              <w:jc w:val="right"/>
            </w:pPr>
            <w:r w:rsidRPr="00874A77">
              <w:t>6.585</w:t>
            </w:r>
          </w:p>
        </w:tc>
        <w:tc>
          <w:tcPr>
            <w:tcW w:w="1025" w:type="pct"/>
            <w:tcMar>
              <w:left w:w="57" w:type="dxa"/>
              <w:right w:w="57" w:type="dxa"/>
            </w:tcMar>
            <w:vAlign w:val="center"/>
          </w:tcPr>
          <w:p w:rsidR="00A50899" w:rsidRPr="00874A77" w:rsidRDefault="00A50899" w:rsidP="00A324B6">
            <w:pPr>
              <w:pStyle w:val="khcnvntab"/>
              <w:keepNext w:val="0"/>
              <w:spacing w:before="0" w:after="20"/>
              <w:ind w:right="441"/>
              <w:jc w:val="right"/>
            </w:pPr>
            <w:r w:rsidRPr="00874A77">
              <w:t>1,69</w:t>
            </w:r>
          </w:p>
        </w:tc>
        <w:tc>
          <w:tcPr>
            <w:tcW w:w="1025" w:type="pct"/>
            <w:tcMar>
              <w:left w:w="57" w:type="dxa"/>
              <w:right w:w="57" w:type="dxa"/>
            </w:tcMar>
            <w:vAlign w:val="center"/>
          </w:tcPr>
          <w:p w:rsidR="00A50899" w:rsidRPr="00874A77" w:rsidRDefault="00A50899" w:rsidP="00A324B6">
            <w:pPr>
              <w:pStyle w:val="khcnvntab"/>
              <w:keepNext w:val="0"/>
              <w:spacing w:before="0" w:after="20"/>
              <w:ind w:right="441"/>
              <w:jc w:val="right"/>
            </w:pPr>
            <w:r w:rsidRPr="00874A77">
              <w:t>4,36</w:t>
            </w:r>
          </w:p>
        </w:tc>
        <w:tc>
          <w:tcPr>
            <w:tcW w:w="1024" w:type="pct"/>
          </w:tcPr>
          <w:p w:rsidR="00A50899" w:rsidRPr="003F3C4E" w:rsidRDefault="00A50899" w:rsidP="00A324B6">
            <w:pPr>
              <w:pStyle w:val="khcnvntab"/>
              <w:keepNext w:val="0"/>
              <w:spacing w:before="0" w:after="20"/>
              <w:ind w:right="441"/>
              <w:jc w:val="right"/>
              <w:rPr>
                <w:lang w:val="en-GB"/>
              </w:rPr>
            </w:pPr>
            <w:r>
              <w:rPr>
                <w:lang w:val="en-GB"/>
              </w:rPr>
              <w:t>0,41</w:t>
            </w:r>
          </w:p>
        </w:tc>
      </w:tr>
      <w:tr w:rsidR="00A50899" w:rsidRPr="00874A77" w:rsidTr="00A324B6">
        <w:trPr>
          <w:trHeight w:val="20"/>
          <w:jc w:val="center"/>
        </w:trPr>
        <w:tc>
          <w:tcPr>
            <w:tcW w:w="902" w:type="pct"/>
            <w:tcMar>
              <w:left w:w="57" w:type="dxa"/>
              <w:right w:w="57" w:type="dxa"/>
            </w:tcMar>
          </w:tcPr>
          <w:p w:rsidR="00A50899" w:rsidRPr="00874A77" w:rsidRDefault="00A50899" w:rsidP="00A324B6">
            <w:pPr>
              <w:pStyle w:val="khcnvntab"/>
              <w:keepNext w:val="0"/>
              <w:spacing w:before="0" w:after="20"/>
              <w:jc w:val="center"/>
            </w:pPr>
            <w:r w:rsidRPr="00874A77">
              <w:t>2009</w:t>
            </w:r>
          </w:p>
        </w:tc>
        <w:tc>
          <w:tcPr>
            <w:tcW w:w="1024" w:type="pct"/>
            <w:tcMar>
              <w:left w:w="57" w:type="dxa"/>
              <w:right w:w="57" w:type="dxa"/>
            </w:tcMar>
            <w:vAlign w:val="center"/>
          </w:tcPr>
          <w:p w:rsidR="00A50899" w:rsidRPr="00874A77" w:rsidRDefault="00A50899" w:rsidP="00A324B6">
            <w:pPr>
              <w:pStyle w:val="khcnvntab"/>
              <w:keepNext w:val="0"/>
              <w:spacing w:before="0" w:after="20"/>
              <w:ind w:right="315"/>
              <w:jc w:val="right"/>
            </w:pPr>
            <w:r w:rsidRPr="00874A77">
              <w:t>7.867</w:t>
            </w:r>
          </w:p>
        </w:tc>
        <w:tc>
          <w:tcPr>
            <w:tcW w:w="1025" w:type="pct"/>
            <w:tcMar>
              <w:left w:w="57" w:type="dxa"/>
              <w:right w:w="57" w:type="dxa"/>
            </w:tcMar>
            <w:vAlign w:val="center"/>
          </w:tcPr>
          <w:p w:rsidR="00A50899" w:rsidRPr="00874A77" w:rsidRDefault="00A50899" w:rsidP="00A324B6">
            <w:pPr>
              <w:pStyle w:val="khcnvntab"/>
              <w:keepNext w:val="0"/>
              <w:spacing w:before="0" w:after="20"/>
              <w:ind w:right="441"/>
              <w:jc w:val="right"/>
            </w:pPr>
            <w:r w:rsidRPr="00874A77">
              <w:t>1,62</w:t>
            </w:r>
          </w:p>
        </w:tc>
        <w:tc>
          <w:tcPr>
            <w:tcW w:w="1025" w:type="pct"/>
            <w:tcMar>
              <w:left w:w="57" w:type="dxa"/>
              <w:right w:w="57" w:type="dxa"/>
            </w:tcMar>
            <w:vAlign w:val="center"/>
          </w:tcPr>
          <w:p w:rsidR="00A50899" w:rsidRPr="00874A77" w:rsidRDefault="00A50899" w:rsidP="00A324B6">
            <w:pPr>
              <w:pStyle w:val="khcnvntab"/>
              <w:keepNext w:val="0"/>
              <w:spacing w:before="0" w:after="20"/>
              <w:ind w:right="441"/>
              <w:jc w:val="right"/>
            </w:pPr>
            <w:r w:rsidRPr="00874A77">
              <w:t>19,46</w:t>
            </w:r>
          </w:p>
        </w:tc>
        <w:tc>
          <w:tcPr>
            <w:tcW w:w="1024" w:type="pct"/>
          </w:tcPr>
          <w:p w:rsidR="00A50899" w:rsidRPr="003F3C4E" w:rsidRDefault="00A50899" w:rsidP="00A324B6">
            <w:pPr>
              <w:pStyle w:val="khcnvntab"/>
              <w:keepNext w:val="0"/>
              <w:spacing w:before="0" w:after="20"/>
              <w:ind w:right="441"/>
              <w:jc w:val="right"/>
              <w:rPr>
                <w:lang w:val="en-GB"/>
              </w:rPr>
            </w:pPr>
            <w:r>
              <w:rPr>
                <w:lang w:val="en-GB"/>
              </w:rPr>
              <w:t>0,43</w:t>
            </w:r>
          </w:p>
        </w:tc>
      </w:tr>
      <w:tr w:rsidR="00A50899" w:rsidRPr="00874A77" w:rsidTr="00A324B6">
        <w:trPr>
          <w:trHeight w:val="20"/>
          <w:jc w:val="center"/>
        </w:trPr>
        <w:tc>
          <w:tcPr>
            <w:tcW w:w="902" w:type="pct"/>
            <w:tcMar>
              <w:left w:w="57" w:type="dxa"/>
              <w:right w:w="57" w:type="dxa"/>
            </w:tcMar>
          </w:tcPr>
          <w:p w:rsidR="00A50899" w:rsidRPr="00874A77" w:rsidRDefault="00A50899" w:rsidP="00A324B6">
            <w:pPr>
              <w:pStyle w:val="khcnvntab"/>
              <w:keepNext w:val="0"/>
              <w:spacing w:before="0" w:after="20"/>
              <w:jc w:val="center"/>
            </w:pPr>
            <w:r w:rsidRPr="00874A77">
              <w:t>2010</w:t>
            </w:r>
          </w:p>
        </w:tc>
        <w:tc>
          <w:tcPr>
            <w:tcW w:w="1024" w:type="pct"/>
            <w:tcMar>
              <w:left w:w="57" w:type="dxa"/>
              <w:right w:w="57" w:type="dxa"/>
            </w:tcMar>
            <w:vAlign w:val="center"/>
          </w:tcPr>
          <w:p w:rsidR="00A50899" w:rsidRPr="00874A77" w:rsidRDefault="00A50899" w:rsidP="00A324B6">
            <w:pPr>
              <w:pStyle w:val="khcnvntab"/>
              <w:keepNext w:val="0"/>
              <w:spacing w:before="0" w:after="20"/>
              <w:ind w:right="315"/>
              <w:jc w:val="right"/>
            </w:pPr>
            <w:r w:rsidRPr="00874A77">
              <w:t>9.178</w:t>
            </w:r>
          </w:p>
        </w:tc>
        <w:tc>
          <w:tcPr>
            <w:tcW w:w="1025" w:type="pct"/>
            <w:tcMar>
              <w:left w:w="57" w:type="dxa"/>
              <w:right w:w="57" w:type="dxa"/>
            </w:tcMar>
            <w:vAlign w:val="center"/>
          </w:tcPr>
          <w:p w:rsidR="00A50899" w:rsidRPr="00874A77" w:rsidRDefault="00A50899" w:rsidP="00A324B6">
            <w:pPr>
              <w:pStyle w:val="khcnvntab"/>
              <w:keepNext w:val="0"/>
              <w:spacing w:before="0" w:after="20"/>
              <w:ind w:right="441"/>
              <w:jc w:val="right"/>
              <w:rPr>
                <w:lang w:val="en-US"/>
              </w:rPr>
            </w:pPr>
            <w:r w:rsidRPr="00874A77">
              <w:t>1,6</w:t>
            </w:r>
            <w:r w:rsidRPr="00874A77">
              <w:rPr>
                <w:lang w:val="en-US"/>
              </w:rPr>
              <w:t>0</w:t>
            </w:r>
          </w:p>
        </w:tc>
        <w:tc>
          <w:tcPr>
            <w:tcW w:w="1025" w:type="pct"/>
            <w:tcMar>
              <w:left w:w="57" w:type="dxa"/>
              <w:right w:w="57" w:type="dxa"/>
            </w:tcMar>
            <w:vAlign w:val="center"/>
          </w:tcPr>
          <w:p w:rsidR="00A50899" w:rsidRPr="00874A77" w:rsidRDefault="00A50899" w:rsidP="00A324B6">
            <w:pPr>
              <w:pStyle w:val="khcnvntab"/>
              <w:keepNext w:val="0"/>
              <w:spacing w:before="0" w:after="20"/>
              <w:ind w:right="441"/>
              <w:jc w:val="right"/>
            </w:pPr>
            <w:r w:rsidRPr="00874A77">
              <w:t>16,66</w:t>
            </w:r>
          </w:p>
        </w:tc>
        <w:tc>
          <w:tcPr>
            <w:tcW w:w="1024" w:type="pct"/>
          </w:tcPr>
          <w:p w:rsidR="00A50899" w:rsidRPr="003F3C4E" w:rsidRDefault="00A50899" w:rsidP="00A324B6">
            <w:pPr>
              <w:pStyle w:val="khcnvntab"/>
              <w:keepNext w:val="0"/>
              <w:spacing w:before="0" w:after="20"/>
              <w:ind w:right="441"/>
              <w:jc w:val="right"/>
              <w:rPr>
                <w:lang w:val="en-GB"/>
              </w:rPr>
            </w:pPr>
            <w:r>
              <w:rPr>
                <w:lang w:val="en-GB"/>
              </w:rPr>
              <w:t>0,43</w:t>
            </w:r>
          </w:p>
        </w:tc>
      </w:tr>
      <w:tr w:rsidR="00A50899" w:rsidRPr="00874A77" w:rsidTr="00A324B6">
        <w:trPr>
          <w:trHeight w:val="20"/>
          <w:jc w:val="center"/>
        </w:trPr>
        <w:tc>
          <w:tcPr>
            <w:tcW w:w="902" w:type="pct"/>
            <w:tcMar>
              <w:left w:w="57" w:type="dxa"/>
              <w:right w:w="57" w:type="dxa"/>
            </w:tcMar>
          </w:tcPr>
          <w:p w:rsidR="00A50899" w:rsidRPr="00874A77" w:rsidRDefault="00A50899" w:rsidP="00A324B6">
            <w:pPr>
              <w:pStyle w:val="khcnvntab"/>
              <w:keepNext w:val="0"/>
              <w:spacing w:before="0" w:after="20"/>
              <w:jc w:val="center"/>
              <w:rPr>
                <w:lang w:val="en-US"/>
              </w:rPr>
            </w:pPr>
            <w:r w:rsidRPr="00874A77">
              <w:t>2011</w:t>
            </w:r>
          </w:p>
        </w:tc>
        <w:tc>
          <w:tcPr>
            <w:tcW w:w="1024" w:type="pct"/>
            <w:tcMar>
              <w:left w:w="57" w:type="dxa"/>
              <w:right w:w="57" w:type="dxa"/>
            </w:tcMar>
            <w:vAlign w:val="center"/>
          </w:tcPr>
          <w:p w:rsidR="00A50899" w:rsidRPr="00874A77" w:rsidRDefault="00A50899" w:rsidP="00A324B6">
            <w:pPr>
              <w:pStyle w:val="khcnvntab"/>
              <w:keepNext w:val="0"/>
              <w:spacing w:before="0" w:after="20"/>
              <w:ind w:right="315"/>
              <w:jc w:val="right"/>
            </w:pPr>
            <w:r w:rsidRPr="00874A77">
              <w:t>11.499</w:t>
            </w:r>
          </w:p>
        </w:tc>
        <w:tc>
          <w:tcPr>
            <w:tcW w:w="1025" w:type="pct"/>
            <w:tcMar>
              <w:left w:w="57" w:type="dxa"/>
              <w:right w:w="57" w:type="dxa"/>
            </w:tcMar>
            <w:vAlign w:val="center"/>
          </w:tcPr>
          <w:p w:rsidR="00A50899" w:rsidRPr="00874A77" w:rsidRDefault="00A50899" w:rsidP="00A324B6">
            <w:pPr>
              <w:pStyle w:val="khcnvntab"/>
              <w:keepNext w:val="0"/>
              <w:spacing w:before="0" w:after="20"/>
              <w:ind w:right="441"/>
              <w:jc w:val="right"/>
            </w:pPr>
            <w:r w:rsidRPr="00874A77">
              <w:t>1,58</w:t>
            </w:r>
          </w:p>
        </w:tc>
        <w:tc>
          <w:tcPr>
            <w:tcW w:w="1025" w:type="pct"/>
            <w:tcMar>
              <w:left w:w="57" w:type="dxa"/>
              <w:right w:w="57" w:type="dxa"/>
            </w:tcMar>
            <w:vAlign w:val="center"/>
          </w:tcPr>
          <w:p w:rsidR="00A50899" w:rsidRPr="00874A77" w:rsidRDefault="00A50899" w:rsidP="00A324B6">
            <w:pPr>
              <w:pStyle w:val="khcnvntab"/>
              <w:keepNext w:val="0"/>
              <w:spacing w:before="0" w:after="20"/>
              <w:ind w:right="441"/>
              <w:jc w:val="right"/>
            </w:pPr>
            <w:r w:rsidRPr="00874A77">
              <w:t>25,28</w:t>
            </w:r>
          </w:p>
        </w:tc>
        <w:tc>
          <w:tcPr>
            <w:tcW w:w="1024" w:type="pct"/>
          </w:tcPr>
          <w:p w:rsidR="00A50899" w:rsidRPr="003F3C4E" w:rsidRDefault="00A50899" w:rsidP="00A324B6">
            <w:pPr>
              <w:pStyle w:val="khcnvntab"/>
              <w:keepNext w:val="0"/>
              <w:spacing w:before="0" w:after="20"/>
              <w:ind w:right="441"/>
              <w:jc w:val="right"/>
              <w:rPr>
                <w:lang w:val="en-GB"/>
              </w:rPr>
            </w:pPr>
            <w:r>
              <w:rPr>
                <w:lang w:val="en-GB"/>
              </w:rPr>
              <w:t>0,41</w:t>
            </w:r>
          </w:p>
        </w:tc>
      </w:tr>
      <w:tr w:rsidR="00A50899" w:rsidRPr="00874A77" w:rsidTr="00A324B6">
        <w:trPr>
          <w:trHeight w:val="20"/>
          <w:jc w:val="center"/>
        </w:trPr>
        <w:tc>
          <w:tcPr>
            <w:tcW w:w="902" w:type="pct"/>
            <w:tcMar>
              <w:left w:w="57" w:type="dxa"/>
              <w:right w:w="57" w:type="dxa"/>
            </w:tcMar>
          </w:tcPr>
          <w:p w:rsidR="00A50899" w:rsidRPr="00874A77" w:rsidRDefault="00A50899" w:rsidP="00A324B6">
            <w:pPr>
              <w:pStyle w:val="khcnvntab"/>
              <w:keepNext w:val="0"/>
              <w:spacing w:before="0" w:after="20"/>
              <w:jc w:val="center"/>
              <w:rPr>
                <w:lang w:val="en-US"/>
              </w:rPr>
            </w:pPr>
            <w:r w:rsidRPr="00874A77">
              <w:t>2012</w:t>
            </w:r>
          </w:p>
        </w:tc>
        <w:tc>
          <w:tcPr>
            <w:tcW w:w="1024" w:type="pct"/>
            <w:tcMar>
              <w:left w:w="57" w:type="dxa"/>
              <w:right w:w="57" w:type="dxa"/>
            </w:tcMar>
            <w:vAlign w:val="center"/>
          </w:tcPr>
          <w:p w:rsidR="00A50899" w:rsidRPr="00874A77" w:rsidRDefault="00A50899" w:rsidP="00A324B6">
            <w:pPr>
              <w:pStyle w:val="khcnvntab"/>
              <w:keepNext w:val="0"/>
              <w:spacing w:before="0" w:after="20"/>
              <w:ind w:right="315"/>
              <w:jc w:val="right"/>
            </w:pPr>
            <w:r w:rsidRPr="00874A77">
              <w:t>13.168</w:t>
            </w:r>
          </w:p>
        </w:tc>
        <w:tc>
          <w:tcPr>
            <w:tcW w:w="1025" w:type="pct"/>
            <w:tcMar>
              <w:left w:w="57" w:type="dxa"/>
              <w:right w:w="57" w:type="dxa"/>
            </w:tcMar>
            <w:vAlign w:val="center"/>
          </w:tcPr>
          <w:p w:rsidR="00A50899" w:rsidRPr="00874A77" w:rsidRDefault="00A50899" w:rsidP="00A324B6">
            <w:pPr>
              <w:pStyle w:val="khcnvntab"/>
              <w:keepNext w:val="0"/>
              <w:spacing w:before="0" w:after="20"/>
              <w:ind w:right="441"/>
              <w:jc w:val="right"/>
            </w:pPr>
            <w:r w:rsidRPr="00874A77">
              <w:t>1,46</w:t>
            </w:r>
          </w:p>
        </w:tc>
        <w:tc>
          <w:tcPr>
            <w:tcW w:w="1025" w:type="pct"/>
            <w:tcMar>
              <w:left w:w="57" w:type="dxa"/>
              <w:right w:w="57" w:type="dxa"/>
            </w:tcMar>
            <w:vAlign w:val="center"/>
          </w:tcPr>
          <w:p w:rsidR="00A50899" w:rsidRPr="00874A77" w:rsidRDefault="00A50899" w:rsidP="00A324B6">
            <w:pPr>
              <w:pStyle w:val="khcnvntab"/>
              <w:keepNext w:val="0"/>
              <w:spacing w:before="0" w:after="20"/>
              <w:ind w:right="441"/>
              <w:jc w:val="right"/>
            </w:pPr>
            <w:r w:rsidRPr="00874A77">
              <w:t>14,51</w:t>
            </w:r>
          </w:p>
        </w:tc>
        <w:tc>
          <w:tcPr>
            <w:tcW w:w="1024" w:type="pct"/>
          </w:tcPr>
          <w:p w:rsidR="00A50899" w:rsidRPr="003F3C4E" w:rsidRDefault="00A50899" w:rsidP="00A324B6">
            <w:pPr>
              <w:pStyle w:val="khcnvntab"/>
              <w:keepNext w:val="0"/>
              <w:spacing w:before="0" w:after="20"/>
              <w:ind w:right="441"/>
              <w:jc w:val="right"/>
              <w:rPr>
                <w:lang w:val="en-GB"/>
              </w:rPr>
            </w:pPr>
            <w:r>
              <w:rPr>
                <w:lang w:val="en-GB"/>
              </w:rPr>
              <w:t>0,41</w:t>
            </w:r>
          </w:p>
        </w:tc>
      </w:tr>
      <w:tr w:rsidR="00A50899" w:rsidRPr="00874A77" w:rsidTr="00A324B6">
        <w:trPr>
          <w:trHeight w:val="20"/>
          <w:jc w:val="center"/>
        </w:trPr>
        <w:tc>
          <w:tcPr>
            <w:tcW w:w="902" w:type="pct"/>
            <w:tcMar>
              <w:left w:w="57" w:type="dxa"/>
              <w:right w:w="57" w:type="dxa"/>
            </w:tcMar>
          </w:tcPr>
          <w:p w:rsidR="00A50899" w:rsidRPr="00E556C9" w:rsidRDefault="00A50899" w:rsidP="00A324B6">
            <w:pPr>
              <w:pStyle w:val="khcnvntab"/>
              <w:keepNext w:val="0"/>
              <w:spacing w:before="0" w:after="20"/>
              <w:jc w:val="center"/>
              <w:rPr>
                <w:lang w:val="en-US"/>
              </w:rPr>
            </w:pPr>
            <w:r>
              <w:t>2013</w:t>
            </w:r>
          </w:p>
        </w:tc>
        <w:tc>
          <w:tcPr>
            <w:tcW w:w="1024" w:type="pct"/>
            <w:tcMar>
              <w:left w:w="57" w:type="dxa"/>
              <w:right w:w="57" w:type="dxa"/>
            </w:tcMar>
            <w:vAlign w:val="center"/>
          </w:tcPr>
          <w:p w:rsidR="00A50899" w:rsidRPr="00874A77" w:rsidRDefault="00A50899" w:rsidP="00A324B6">
            <w:pPr>
              <w:pStyle w:val="khcnvntab"/>
              <w:keepNext w:val="0"/>
              <w:spacing w:before="0" w:after="20"/>
              <w:ind w:right="315"/>
              <w:jc w:val="right"/>
            </w:pPr>
            <w:r>
              <w:rPr>
                <w:lang w:val="en-US"/>
              </w:rPr>
              <w:t>13.869</w:t>
            </w:r>
          </w:p>
        </w:tc>
        <w:tc>
          <w:tcPr>
            <w:tcW w:w="1025" w:type="pct"/>
            <w:tcMar>
              <w:left w:w="57" w:type="dxa"/>
              <w:right w:w="57" w:type="dxa"/>
            </w:tcMar>
            <w:vAlign w:val="center"/>
          </w:tcPr>
          <w:p w:rsidR="00A50899" w:rsidRPr="00874A77" w:rsidRDefault="00A50899" w:rsidP="00A324B6">
            <w:pPr>
              <w:pStyle w:val="khcnvntab"/>
              <w:keepNext w:val="0"/>
              <w:spacing w:before="0" w:after="20"/>
              <w:ind w:right="441"/>
              <w:jc w:val="right"/>
            </w:pPr>
            <w:r w:rsidRPr="00874A77">
              <w:t>1,44</w:t>
            </w:r>
          </w:p>
        </w:tc>
        <w:tc>
          <w:tcPr>
            <w:tcW w:w="1025" w:type="pct"/>
            <w:tcMar>
              <w:left w:w="57" w:type="dxa"/>
              <w:right w:w="57" w:type="dxa"/>
            </w:tcMar>
            <w:vAlign w:val="center"/>
          </w:tcPr>
          <w:p w:rsidR="00A50899" w:rsidRPr="00874A77" w:rsidRDefault="00A50899" w:rsidP="00A324B6">
            <w:pPr>
              <w:pStyle w:val="khcnvntab"/>
              <w:keepNext w:val="0"/>
              <w:spacing w:before="0" w:after="20"/>
              <w:ind w:right="441"/>
              <w:jc w:val="right"/>
            </w:pPr>
            <w:r w:rsidRPr="00874A77">
              <w:t>7,41</w:t>
            </w:r>
          </w:p>
        </w:tc>
        <w:tc>
          <w:tcPr>
            <w:tcW w:w="1024" w:type="pct"/>
          </w:tcPr>
          <w:p w:rsidR="00A50899" w:rsidRPr="003F3C4E" w:rsidRDefault="00A50899" w:rsidP="00A324B6">
            <w:pPr>
              <w:pStyle w:val="khcnvntab"/>
              <w:keepNext w:val="0"/>
              <w:spacing w:before="0" w:after="20"/>
              <w:ind w:right="441"/>
              <w:jc w:val="right"/>
              <w:rPr>
                <w:lang w:val="en-GB"/>
              </w:rPr>
            </w:pPr>
            <w:r>
              <w:rPr>
                <w:lang w:val="en-GB"/>
              </w:rPr>
              <w:t>0,39</w:t>
            </w:r>
          </w:p>
        </w:tc>
      </w:tr>
      <w:tr w:rsidR="00A50899" w:rsidRPr="00874A77" w:rsidTr="00A324B6">
        <w:trPr>
          <w:trHeight w:val="20"/>
          <w:jc w:val="center"/>
        </w:trPr>
        <w:tc>
          <w:tcPr>
            <w:tcW w:w="902" w:type="pct"/>
            <w:shd w:val="clear" w:color="auto" w:fill="auto"/>
            <w:tcMar>
              <w:left w:w="57" w:type="dxa"/>
              <w:right w:w="57" w:type="dxa"/>
            </w:tcMar>
          </w:tcPr>
          <w:p w:rsidR="00A50899" w:rsidRPr="00417DE6" w:rsidRDefault="00A50899" w:rsidP="00A324B6">
            <w:pPr>
              <w:pStyle w:val="khcnvntab"/>
              <w:keepNext w:val="0"/>
              <w:spacing w:before="0" w:after="20"/>
              <w:jc w:val="center"/>
              <w:rPr>
                <w:lang w:val="en-US"/>
              </w:rPr>
            </w:pPr>
            <w:r>
              <w:rPr>
                <w:lang w:val="en-US"/>
              </w:rPr>
              <w:t>2014</w:t>
            </w:r>
          </w:p>
        </w:tc>
        <w:tc>
          <w:tcPr>
            <w:tcW w:w="1024" w:type="pct"/>
            <w:shd w:val="clear" w:color="auto" w:fill="auto"/>
            <w:tcMar>
              <w:left w:w="57" w:type="dxa"/>
              <w:right w:w="57" w:type="dxa"/>
            </w:tcMar>
            <w:vAlign w:val="center"/>
          </w:tcPr>
          <w:p w:rsidR="00A50899" w:rsidRPr="00427688" w:rsidRDefault="00A50899" w:rsidP="00A324B6">
            <w:pPr>
              <w:pStyle w:val="khcnvntab"/>
              <w:keepNext w:val="0"/>
              <w:spacing w:before="0" w:after="20"/>
              <w:ind w:right="315"/>
              <w:jc w:val="right"/>
              <w:rPr>
                <w:szCs w:val="20"/>
                <w:highlight w:val="yellow"/>
              </w:rPr>
            </w:pPr>
            <w:r w:rsidRPr="00D03B59">
              <w:rPr>
                <w:noProof/>
                <w:szCs w:val="20"/>
              </w:rPr>
              <w:t>13.666</w:t>
            </w:r>
          </w:p>
        </w:tc>
        <w:tc>
          <w:tcPr>
            <w:tcW w:w="1025" w:type="pct"/>
            <w:shd w:val="clear" w:color="auto" w:fill="auto"/>
            <w:tcMar>
              <w:left w:w="57" w:type="dxa"/>
              <w:right w:w="57" w:type="dxa"/>
            </w:tcMar>
            <w:vAlign w:val="center"/>
          </w:tcPr>
          <w:p w:rsidR="00A50899" w:rsidRPr="00427688" w:rsidRDefault="00A50899" w:rsidP="00A324B6">
            <w:pPr>
              <w:pStyle w:val="khcnvntab"/>
              <w:keepNext w:val="0"/>
              <w:spacing w:before="0" w:after="20"/>
              <w:ind w:right="441"/>
              <w:jc w:val="right"/>
              <w:rPr>
                <w:lang w:val="en-US"/>
              </w:rPr>
            </w:pPr>
            <w:r>
              <w:rPr>
                <w:lang w:val="en-US"/>
              </w:rPr>
              <w:t>1,36</w:t>
            </w:r>
          </w:p>
        </w:tc>
        <w:tc>
          <w:tcPr>
            <w:tcW w:w="1025" w:type="pct"/>
            <w:shd w:val="clear" w:color="auto" w:fill="auto"/>
            <w:tcMar>
              <w:left w:w="57" w:type="dxa"/>
              <w:right w:w="57" w:type="dxa"/>
            </w:tcMar>
            <w:vAlign w:val="center"/>
          </w:tcPr>
          <w:p w:rsidR="00A50899" w:rsidRPr="00427688" w:rsidRDefault="00A50899" w:rsidP="00A324B6">
            <w:pPr>
              <w:pStyle w:val="khcnvntab"/>
              <w:keepNext w:val="0"/>
              <w:spacing w:before="0" w:after="20"/>
              <w:ind w:right="441"/>
              <w:jc w:val="right"/>
              <w:rPr>
                <w:lang w:val="en-US"/>
              </w:rPr>
            </w:pPr>
            <w:r>
              <w:rPr>
                <w:lang w:val="en-US"/>
              </w:rPr>
              <w:t>-1,46</w:t>
            </w:r>
          </w:p>
        </w:tc>
        <w:tc>
          <w:tcPr>
            <w:tcW w:w="1024" w:type="pct"/>
          </w:tcPr>
          <w:p w:rsidR="00A50899" w:rsidRDefault="00A50899" w:rsidP="00A324B6">
            <w:pPr>
              <w:pStyle w:val="khcnvntab"/>
              <w:keepNext w:val="0"/>
              <w:spacing w:before="0" w:after="20"/>
              <w:ind w:right="441"/>
              <w:jc w:val="right"/>
              <w:rPr>
                <w:lang w:val="en-US"/>
              </w:rPr>
            </w:pPr>
            <w:r>
              <w:rPr>
                <w:lang w:val="en-US"/>
              </w:rPr>
              <w:t>0,35</w:t>
            </w:r>
          </w:p>
        </w:tc>
      </w:tr>
      <w:tr w:rsidR="00A50899" w:rsidRPr="00874A77" w:rsidTr="00A324B6">
        <w:trPr>
          <w:trHeight w:val="20"/>
          <w:jc w:val="center"/>
        </w:trPr>
        <w:tc>
          <w:tcPr>
            <w:tcW w:w="902" w:type="pct"/>
            <w:shd w:val="clear" w:color="auto" w:fill="auto"/>
            <w:tcMar>
              <w:left w:w="57" w:type="dxa"/>
              <w:right w:w="57" w:type="dxa"/>
            </w:tcMar>
          </w:tcPr>
          <w:p w:rsidR="00A50899" w:rsidRDefault="00A50899" w:rsidP="00A324B6">
            <w:pPr>
              <w:pStyle w:val="khcnvntab"/>
              <w:keepNext w:val="0"/>
              <w:spacing w:before="0" w:after="20"/>
              <w:jc w:val="center"/>
              <w:rPr>
                <w:lang w:val="en-US"/>
              </w:rPr>
            </w:pPr>
            <w:r>
              <w:rPr>
                <w:lang w:val="en-US"/>
              </w:rPr>
              <w:t>2015*</w:t>
            </w:r>
          </w:p>
        </w:tc>
        <w:tc>
          <w:tcPr>
            <w:tcW w:w="1024" w:type="pct"/>
            <w:shd w:val="clear" w:color="auto" w:fill="auto"/>
            <w:tcMar>
              <w:left w:w="57" w:type="dxa"/>
              <w:right w:w="57" w:type="dxa"/>
            </w:tcMar>
            <w:vAlign w:val="center"/>
          </w:tcPr>
          <w:p w:rsidR="00A50899" w:rsidRPr="00F1596E" w:rsidRDefault="00A50899" w:rsidP="00A324B6">
            <w:pPr>
              <w:pStyle w:val="khcnvntab"/>
              <w:keepNext w:val="0"/>
              <w:spacing w:before="0" w:after="20"/>
              <w:ind w:right="315"/>
              <w:jc w:val="right"/>
              <w:rPr>
                <w:noProof/>
                <w:szCs w:val="20"/>
                <w:lang w:val="en-US"/>
              </w:rPr>
            </w:pPr>
            <w:r>
              <w:rPr>
                <w:noProof/>
                <w:szCs w:val="20"/>
                <w:lang w:val="en-US"/>
              </w:rPr>
              <w:t>17.390</w:t>
            </w:r>
          </w:p>
        </w:tc>
        <w:tc>
          <w:tcPr>
            <w:tcW w:w="1025" w:type="pct"/>
            <w:shd w:val="clear" w:color="auto" w:fill="auto"/>
            <w:tcMar>
              <w:left w:w="57" w:type="dxa"/>
              <w:right w:w="57" w:type="dxa"/>
            </w:tcMar>
            <w:vAlign w:val="center"/>
          </w:tcPr>
          <w:p w:rsidR="00A50899" w:rsidRDefault="00A50899" w:rsidP="00A324B6">
            <w:pPr>
              <w:pStyle w:val="khcnvntab"/>
              <w:keepNext w:val="0"/>
              <w:spacing w:before="0" w:after="20"/>
              <w:ind w:right="441"/>
              <w:jc w:val="right"/>
              <w:rPr>
                <w:lang w:val="en-US"/>
              </w:rPr>
            </w:pPr>
            <w:r>
              <w:rPr>
                <w:lang w:val="en-US"/>
              </w:rPr>
              <w:t>1,52</w:t>
            </w:r>
          </w:p>
        </w:tc>
        <w:tc>
          <w:tcPr>
            <w:tcW w:w="1025" w:type="pct"/>
            <w:shd w:val="clear" w:color="auto" w:fill="auto"/>
            <w:tcMar>
              <w:left w:w="57" w:type="dxa"/>
              <w:right w:w="57" w:type="dxa"/>
            </w:tcMar>
            <w:vAlign w:val="center"/>
          </w:tcPr>
          <w:p w:rsidR="00A50899" w:rsidRDefault="00A50899" w:rsidP="00A324B6">
            <w:pPr>
              <w:pStyle w:val="khcnvntab"/>
              <w:keepNext w:val="0"/>
              <w:spacing w:before="0" w:after="20"/>
              <w:ind w:right="441"/>
              <w:jc w:val="right"/>
              <w:rPr>
                <w:lang w:val="en-US"/>
              </w:rPr>
            </w:pPr>
            <w:r>
              <w:rPr>
                <w:lang w:val="en-US"/>
              </w:rPr>
              <w:t>27,25</w:t>
            </w:r>
          </w:p>
        </w:tc>
        <w:tc>
          <w:tcPr>
            <w:tcW w:w="1024" w:type="pct"/>
          </w:tcPr>
          <w:p w:rsidR="00A50899" w:rsidRDefault="00A50899" w:rsidP="00A324B6">
            <w:pPr>
              <w:pStyle w:val="khcnvntab"/>
              <w:keepNext w:val="0"/>
              <w:spacing w:before="0" w:after="20"/>
              <w:ind w:right="441"/>
              <w:jc w:val="right"/>
              <w:rPr>
                <w:lang w:val="en-US"/>
              </w:rPr>
            </w:pPr>
            <w:r>
              <w:rPr>
                <w:lang w:val="en-US"/>
              </w:rPr>
              <w:t>0,41</w:t>
            </w:r>
          </w:p>
        </w:tc>
      </w:tr>
    </w:tbl>
    <w:p w:rsidR="00320ECA" w:rsidRDefault="00A50899" w:rsidP="00A50899">
      <w:pPr>
        <w:pStyle w:val="nguon"/>
      </w:pPr>
      <w:r w:rsidRPr="00161E38">
        <w:t>Nguồn: Bộ Khoa học và Công nghệ</w:t>
      </w:r>
      <w:r w:rsidRPr="00161E38">
        <w:rPr>
          <w:lang w:val="en-GB"/>
        </w:rPr>
        <w:t>; Tổng cục Thống kê</w:t>
      </w:r>
    </w:p>
    <w:p w:rsidR="00A50899" w:rsidRPr="00161E38" w:rsidRDefault="00A50899" w:rsidP="00A50899">
      <w:pPr>
        <w:pStyle w:val="nguon"/>
        <w:rPr>
          <w:lang w:val="en-US"/>
        </w:rPr>
      </w:pPr>
      <w:r w:rsidRPr="00161E38">
        <w:t>Ghi chú: * Số liệu dự toán từ Bộ Tài chính</w:t>
      </w:r>
    </w:p>
    <w:p w:rsidR="00A50899" w:rsidRDefault="00A50899" w:rsidP="00A50899">
      <w:pPr>
        <w:jc w:val="center"/>
      </w:pPr>
      <w:r>
        <w:rPr>
          <w:noProof/>
        </w:rPr>
        <w:drawing>
          <wp:inline distT="0" distB="0" distL="0" distR="0" wp14:anchorId="5966E761" wp14:editId="5BC74D1A">
            <wp:extent cx="3721100" cy="2115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1100" cy="2115820"/>
                    </a:xfrm>
                    <a:prstGeom prst="rect">
                      <a:avLst/>
                    </a:prstGeom>
                    <a:noFill/>
                    <a:ln>
                      <a:noFill/>
                    </a:ln>
                  </pic:spPr>
                </pic:pic>
              </a:graphicData>
            </a:graphic>
          </wp:inline>
        </w:drawing>
      </w:r>
    </w:p>
    <w:p w:rsidR="00A50899" w:rsidRDefault="00A50899" w:rsidP="00A50899">
      <w:pPr>
        <w:pStyle w:val="nguon"/>
        <w:spacing w:before="60" w:after="60"/>
        <w:jc w:val="center"/>
        <w:rPr>
          <w:i w:val="0"/>
          <w:lang w:val="en-US"/>
        </w:rPr>
      </w:pPr>
      <w:bookmarkStart w:id="40" w:name="_Toc453341474"/>
      <w:r w:rsidRPr="00874A77">
        <w:rPr>
          <w:b/>
        </w:rPr>
        <w:t xml:space="preserve">Hình </w:t>
      </w:r>
      <w:r w:rsidR="00320ECA">
        <w:rPr>
          <w:b/>
          <w:lang w:val="en-US"/>
        </w:rPr>
        <w:t>1</w:t>
      </w:r>
      <w:r w:rsidRPr="00874A77">
        <w:rPr>
          <w:b/>
        </w:rPr>
        <w:t>.</w:t>
      </w:r>
      <w:r>
        <w:rPr>
          <w:b/>
        </w:rPr>
        <w:t>10</w:t>
      </w:r>
      <w:r w:rsidRPr="00874A77">
        <w:t xml:space="preserve">. </w:t>
      </w:r>
      <w:r w:rsidRPr="00041ED2">
        <w:rPr>
          <w:i w:val="0"/>
        </w:rPr>
        <w:t>Ngân sách nhà nước đầu tư cho KH&amp;CN theo năm (tỷ đồng)</w:t>
      </w:r>
      <w:bookmarkEnd w:id="40"/>
    </w:p>
    <w:p w:rsidR="00A50899" w:rsidRDefault="00A50899" w:rsidP="00A50899">
      <w:pPr>
        <w:pStyle w:val="nguon"/>
        <w:spacing w:before="60" w:after="60"/>
        <w:rPr>
          <w:lang w:val="en-GB"/>
        </w:rPr>
      </w:pPr>
      <w:r w:rsidRPr="00161E38">
        <w:t>Nguồn: Bộ Khoa học và Công nghệ</w:t>
      </w:r>
      <w:r>
        <w:rPr>
          <w:lang w:val="en-US"/>
        </w:rPr>
        <w:t>,</w:t>
      </w:r>
      <w:r w:rsidRPr="00161E38">
        <w:rPr>
          <w:lang w:val="en-GB"/>
        </w:rPr>
        <w:t xml:space="preserve"> </w:t>
      </w:r>
      <w:r>
        <w:rPr>
          <w:lang w:val="en-GB"/>
        </w:rPr>
        <w:t xml:space="preserve">Bộ Tài chính, </w:t>
      </w:r>
      <w:r w:rsidRPr="00161E38">
        <w:rPr>
          <w:lang w:val="en-GB"/>
        </w:rPr>
        <w:t>Tổng cục Thống kê</w:t>
      </w:r>
      <w:r>
        <w:rPr>
          <w:lang w:val="en-GB"/>
        </w:rPr>
        <w:t>, 2015</w:t>
      </w:r>
    </w:p>
    <w:p w:rsidR="00A50899" w:rsidRDefault="00A50899" w:rsidP="00A50899">
      <w:pPr>
        <w:pStyle w:val="khcnvn"/>
        <w:ind w:firstLine="0"/>
        <w:jc w:val="center"/>
      </w:pPr>
      <w:r w:rsidRPr="006214F0">
        <w:rPr>
          <w:noProof/>
          <w:lang w:val="en-US" w:eastAsia="en-US"/>
        </w:rPr>
        <w:drawing>
          <wp:inline distT="0" distB="0" distL="0" distR="0" wp14:anchorId="07E5C89F" wp14:editId="154E3E00">
            <wp:extent cx="3678555" cy="2019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t="2454" b="1227"/>
                    <a:stretch>
                      <a:fillRect/>
                    </a:stretch>
                  </pic:blipFill>
                  <pic:spPr bwMode="auto">
                    <a:xfrm>
                      <a:off x="0" y="0"/>
                      <a:ext cx="3678555" cy="2019935"/>
                    </a:xfrm>
                    <a:prstGeom prst="rect">
                      <a:avLst/>
                    </a:prstGeom>
                    <a:noFill/>
                    <a:ln>
                      <a:noFill/>
                    </a:ln>
                  </pic:spPr>
                </pic:pic>
              </a:graphicData>
            </a:graphic>
          </wp:inline>
        </w:drawing>
      </w:r>
    </w:p>
    <w:p w:rsidR="00A50899" w:rsidRDefault="00320ECA" w:rsidP="00A50899">
      <w:pPr>
        <w:pStyle w:val="khcnvntenhinh"/>
        <w:spacing w:after="0"/>
        <w:rPr>
          <w:rFonts w:eastAsia="Calibri"/>
        </w:rPr>
      </w:pPr>
      <w:bookmarkStart w:id="41" w:name="_Toc453341475"/>
      <w:r>
        <w:rPr>
          <w:rFonts w:eastAsia="Calibri"/>
          <w:b/>
          <w:i/>
        </w:rPr>
        <w:t>Hình 1</w:t>
      </w:r>
      <w:r w:rsidR="00A50899" w:rsidRPr="0020055C">
        <w:rPr>
          <w:rFonts w:eastAsia="Calibri"/>
          <w:b/>
          <w:i/>
        </w:rPr>
        <w:t>.</w:t>
      </w:r>
      <w:r w:rsidR="00A50899">
        <w:rPr>
          <w:rFonts w:eastAsia="Calibri"/>
          <w:b/>
          <w:i/>
        </w:rPr>
        <w:t>11</w:t>
      </w:r>
      <w:r w:rsidR="00A50899" w:rsidRPr="0020055C">
        <w:rPr>
          <w:rFonts w:eastAsia="Calibri"/>
          <w:b/>
          <w:i/>
        </w:rPr>
        <w:t xml:space="preserve">. </w:t>
      </w:r>
      <w:r w:rsidR="00A50899" w:rsidRPr="0020055C">
        <w:rPr>
          <w:rFonts w:eastAsia="Calibri"/>
        </w:rPr>
        <w:t xml:space="preserve">Tỷ lệ chi KH&amp;CN từ NSNN so với </w:t>
      </w:r>
      <w:r w:rsidR="00A50899">
        <w:t xml:space="preserve">tổng chi NSNN và </w:t>
      </w:r>
      <w:r w:rsidR="00A50899" w:rsidRPr="0020055C">
        <w:rPr>
          <w:rFonts w:eastAsia="Calibri"/>
        </w:rPr>
        <w:t>GDP</w:t>
      </w:r>
      <w:r w:rsidR="00A50899">
        <w:rPr>
          <w:rFonts w:eastAsia="Calibri"/>
        </w:rPr>
        <w:t xml:space="preserve"> </w:t>
      </w:r>
      <w:r w:rsidR="00A50899" w:rsidRPr="0020055C">
        <w:rPr>
          <w:rFonts w:eastAsia="Calibri"/>
        </w:rPr>
        <w:t>(%)</w:t>
      </w:r>
      <w:bookmarkEnd w:id="41"/>
    </w:p>
    <w:p w:rsidR="00A50899" w:rsidRDefault="00A50899" w:rsidP="00A50899">
      <w:pPr>
        <w:pStyle w:val="nguon"/>
        <w:spacing w:before="0"/>
      </w:pPr>
      <w:r w:rsidRPr="00161E38">
        <w:t>Nguồn: Bộ Khoa học và Công nghệ</w:t>
      </w:r>
      <w:r>
        <w:rPr>
          <w:lang w:val="en-US"/>
        </w:rPr>
        <w:t>,</w:t>
      </w:r>
      <w:r w:rsidRPr="00161E38">
        <w:rPr>
          <w:lang w:val="en-GB"/>
        </w:rPr>
        <w:t xml:space="preserve"> </w:t>
      </w:r>
      <w:r>
        <w:rPr>
          <w:lang w:val="en-GB"/>
        </w:rPr>
        <w:t xml:space="preserve">Bộ Tài chính, </w:t>
      </w:r>
      <w:r w:rsidRPr="00161E38">
        <w:rPr>
          <w:lang w:val="en-GB"/>
        </w:rPr>
        <w:t>Tổng cục Thống kê</w:t>
      </w:r>
      <w:r>
        <w:rPr>
          <w:lang w:val="en-GB"/>
        </w:rPr>
        <w:t>, 2015</w:t>
      </w:r>
    </w:p>
    <w:p w:rsidR="00A50899" w:rsidRPr="00880127" w:rsidRDefault="00A50899" w:rsidP="00A50899">
      <w:pPr>
        <w:pStyle w:val="khcnvntab"/>
        <w:keepNext w:val="0"/>
        <w:widowControl w:val="0"/>
        <w:jc w:val="center"/>
        <w:rPr>
          <w:rFonts w:eastAsia="Calibri"/>
          <w:sz w:val="4"/>
          <w:lang w:val="en-US"/>
        </w:rPr>
      </w:pPr>
    </w:p>
    <w:p w:rsidR="00A50899" w:rsidRPr="00F1222B" w:rsidRDefault="00320ECA" w:rsidP="00A50899">
      <w:pPr>
        <w:pStyle w:val="111khcnvn"/>
        <w:spacing w:before="100" w:after="20"/>
        <w:rPr>
          <w:lang w:val="en-GB"/>
        </w:rPr>
      </w:pPr>
      <w:bookmarkStart w:id="42" w:name="_Toc451518369"/>
      <w:r>
        <w:lastRenderedPageBreak/>
        <w:t>1</w:t>
      </w:r>
      <w:r w:rsidR="00A50899" w:rsidRPr="00F1222B">
        <w:t>.</w:t>
      </w:r>
      <w:r w:rsidR="00A50899">
        <w:t>3</w:t>
      </w:r>
      <w:r w:rsidR="00A50899" w:rsidRPr="00F1222B">
        <w:t xml:space="preserve">.2. </w:t>
      </w:r>
      <w:r w:rsidR="00A50899" w:rsidRPr="00F1222B">
        <w:rPr>
          <w:lang w:val="vi-VN"/>
        </w:rPr>
        <w:t xml:space="preserve">Đầu tư cho </w:t>
      </w:r>
      <w:r w:rsidR="00A50899" w:rsidRPr="00F1222B">
        <w:rPr>
          <w:lang w:val="en-GB"/>
        </w:rPr>
        <w:t>nghiên cứu khoa học và phát triển công nghệ</w:t>
      </w:r>
      <w:bookmarkEnd w:id="42"/>
    </w:p>
    <w:p w:rsidR="00A50899" w:rsidRDefault="00A50899" w:rsidP="00A50899">
      <w:pPr>
        <w:pStyle w:val="bodyA0"/>
        <w:spacing w:before="120" w:after="0" w:line="264" w:lineRule="auto"/>
      </w:pPr>
      <w:r>
        <w:t>Tổng chi quốc gia cho NC&amp;PT (GERD) là một chỉ tiêu thống kê NC&amp;PT quan trọng hàng đầu. Đây là chỉ tiêu chính được sử dụng để đánh giá cường độ NC&amp;PT của một quốc gia (tỷ lệ chi quốc gia cho NC&amp;PT trên GDP) và để so sánh quốc tế. Theo Điều tra NC&amp;PT 2014, tỷ tr</w:t>
      </w:r>
      <w:r>
        <w:rPr>
          <w:lang w:val="vi-VN"/>
        </w:rPr>
        <w:t>ọ</w:t>
      </w:r>
      <w:r>
        <w:t xml:space="preserve">ng </w:t>
      </w:r>
      <w:r>
        <w:rPr>
          <w:lang w:val="vi-VN"/>
        </w:rPr>
        <w:t>tổng chi quốc gia</w:t>
      </w:r>
      <w:r>
        <w:t xml:space="preserve"> cho KH&amp;CN/GDP</w:t>
      </w:r>
      <w:r w:rsidRPr="00041ED2">
        <w:rPr>
          <w:vertAlign w:val="superscript"/>
        </w:rPr>
        <w:t>(</w:t>
      </w:r>
      <w:r w:rsidRPr="00041ED2">
        <w:rPr>
          <w:rStyle w:val="FootnoteReference"/>
        </w:rPr>
        <w:footnoteReference w:id="5"/>
      </w:r>
      <w:r w:rsidRPr="00041ED2">
        <w:rPr>
          <w:vertAlign w:val="superscript"/>
        </w:rPr>
        <w:t>)</w:t>
      </w:r>
      <w:r>
        <w:t xml:space="preserve"> năm 2013 là 0,87%, trong đó </w:t>
      </w:r>
      <w:r>
        <w:rPr>
          <w:lang w:val="vi-VN"/>
        </w:rPr>
        <w:t>chi cho</w:t>
      </w:r>
      <w:r>
        <w:t xml:space="preserve"> NC&amp;PT chiếm 43%. Như vậy, năm 2013, tỷ lệ </w:t>
      </w:r>
      <w:r>
        <w:rPr>
          <w:lang w:val="vi-VN"/>
        </w:rPr>
        <w:t>chi quốc gia</w:t>
      </w:r>
      <w:r>
        <w:t xml:space="preserve"> cho </w:t>
      </w:r>
      <w:r w:rsidRPr="005B0B71">
        <w:t>NC&amp;PT/GDP đạt 0,37%.</w:t>
      </w:r>
      <w:r>
        <w:t xml:space="preserve"> Trong tổng </w:t>
      </w:r>
      <w:r>
        <w:rPr>
          <w:lang w:val="vi-VN"/>
        </w:rPr>
        <w:t>chi quốc gia</w:t>
      </w:r>
      <w:r>
        <w:t xml:space="preserve"> cho NC&amp;PT, NSNN chiếm hơn một nửa (56,7%), nguồn đầu tư từ doanh nghiệp đạt 41,8%, còn lại chỉ có 1,5% là từ nguồn vốn nước ngoài (Bảng </w:t>
      </w:r>
      <w:r w:rsidR="00320ECA">
        <w:rPr>
          <w:lang w:val="en-US"/>
        </w:rPr>
        <w:t>1</w:t>
      </w:r>
      <w:r>
        <w:t>.17).</w:t>
      </w:r>
    </w:p>
    <w:p w:rsidR="00A50899" w:rsidRDefault="00A50899" w:rsidP="00A50899">
      <w:pPr>
        <w:pStyle w:val="khcnvnTenBang"/>
        <w:keepNext w:val="0"/>
        <w:spacing w:before="200"/>
      </w:pPr>
      <w:bookmarkStart w:id="43" w:name="_Toc453342473"/>
      <w:r>
        <w:rPr>
          <w:b/>
          <w:i/>
        </w:rPr>
        <w:t xml:space="preserve">Bảng </w:t>
      </w:r>
      <w:r w:rsidR="00320ECA">
        <w:rPr>
          <w:b/>
          <w:i/>
        </w:rPr>
        <w:t>1</w:t>
      </w:r>
      <w:r>
        <w:rPr>
          <w:b/>
          <w:i/>
        </w:rPr>
        <w:t xml:space="preserve">.17. </w:t>
      </w:r>
      <w:r>
        <w:rPr>
          <w:lang w:val="vi-VN"/>
        </w:rPr>
        <w:t>Tổng chi quốc gia</w:t>
      </w:r>
      <w:r>
        <w:t xml:space="preserve"> cho NC&amp;PT năm 2013</w:t>
      </w:r>
      <w:bookmarkEnd w:id="43"/>
    </w:p>
    <w:tbl>
      <w:tblPr>
        <w:tblW w:w="6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406"/>
        <w:gridCol w:w="2301"/>
      </w:tblGrid>
      <w:tr w:rsidR="00A50899" w:rsidRPr="00742D20" w:rsidTr="00A324B6">
        <w:trPr>
          <w:trHeight w:val="201"/>
          <w:jc w:val="center"/>
        </w:trPr>
        <w:tc>
          <w:tcPr>
            <w:tcW w:w="2192" w:type="dxa"/>
            <w:tcBorders>
              <w:top w:val="single" w:sz="4" w:space="0" w:color="auto"/>
              <w:left w:val="single" w:sz="4" w:space="0" w:color="auto"/>
              <w:bottom w:val="single" w:sz="4" w:space="0" w:color="auto"/>
              <w:right w:val="single" w:sz="4" w:space="0" w:color="auto"/>
            </w:tcBorders>
            <w:shd w:val="clear" w:color="auto" w:fill="66CCFF"/>
            <w:noWrap/>
            <w:vAlign w:val="center"/>
          </w:tcPr>
          <w:p w:rsidR="00A50899" w:rsidRPr="00880127" w:rsidRDefault="00A50899" w:rsidP="00A324B6">
            <w:pPr>
              <w:pStyle w:val="Bang2"/>
              <w:keepNext w:val="0"/>
              <w:spacing w:before="0" w:after="0"/>
              <w:rPr>
                <w:rFonts w:eastAsia="Calibri"/>
                <w:b/>
                <w:sz w:val="18"/>
                <w:szCs w:val="18"/>
              </w:rPr>
            </w:pPr>
            <w:r w:rsidRPr="00880127">
              <w:rPr>
                <w:b/>
                <w:sz w:val="18"/>
                <w:szCs w:val="18"/>
              </w:rPr>
              <w:t>Nguồn đầu tư</w:t>
            </w:r>
          </w:p>
        </w:tc>
        <w:tc>
          <w:tcPr>
            <w:tcW w:w="2406" w:type="dxa"/>
            <w:tcBorders>
              <w:top w:val="single" w:sz="4" w:space="0" w:color="auto"/>
              <w:left w:val="single" w:sz="4" w:space="0" w:color="auto"/>
              <w:bottom w:val="single" w:sz="4" w:space="0" w:color="auto"/>
              <w:right w:val="single" w:sz="4" w:space="0" w:color="auto"/>
            </w:tcBorders>
            <w:shd w:val="clear" w:color="auto" w:fill="66CCFF"/>
            <w:noWrap/>
            <w:vAlign w:val="center"/>
          </w:tcPr>
          <w:p w:rsidR="00A50899" w:rsidRPr="00880127" w:rsidRDefault="00A50899" w:rsidP="00A324B6">
            <w:pPr>
              <w:pStyle w:val="Bang2"/>
              <w:keepNext w:val="0"/>
              <w:spacing w:before="0" w:after="0"/>
              <w:jc w:val="center"/>
              <w:rPr>
                <w:rFonts w:eastAsia="Calibri"/>
                <w:b/>
                <w:sz w:val="18"/>
                <w:szCs w:val="18"/>
              </w:rPr>
            </w:pPr>
            <w:r w:rsidRPr="00880127">
              <w:rPr>
                <w:b/>
                <w:sz w:val="18"/>
                <w:szCs w:val="18"/>
              </w:rPr>
              <w:t>Tổng chi quốc gia cho NC&amp;PT (GERD)</w:t>
            </w:r>
            <w:r>
              <w:rPr>
                <w:b/>
                <w:sz w:val="18"/>
                <w:szCs w:val="18"/>
              </w:rPr>
              <w:t xml:space="preserve"> </w:t>
            </w:r>
            <w:r w:rsidRPr="00880127">
              <w:rPr>
                <w:b/>
                <w:sz w:val="18"/>
                <w:szCs w:val="18"/>
              </w:rPr>
              <w:t xml:space="preserve">(tỷ </w:t>
            </w:r>
            <w:r>
              <w:rPr>
                <w:b/>
                <w:sz w:val="18"/>
                <w:szCs w:val="18"/>
              </w:rPr>
              <w:t>đồng</w:t>
            </w:r>
            <w:r w:rsidRPr="00880127">
              <w:rPr>
                <w:b/>
                <w:sz w:val="18"/>
                <w:szCs w:val="18"/>
              </w:rPr>
              <w:t>)</w:t>
            </w:r>
          </w:p>
        </w:tc>
        <w:tc>
          <w:tcPr>
            <w:tcW w:w="2301" w:type="dxa"/>
            <w:tcBorders>
              <w:top w:val="single" w:sz="4" w:space="0" w:color="auto"/>
              <w:left w:val="single" w:sz="4" w:space="0" w:color="auto"/>
              <w:bottom w:val="single" w:sz="4" w:space="0" w:color="auto"/>
              <w:right w:val="single" w:sz="4" w:space="0" w:color="auto"/>
            </w:tcBorders>
            <w:shd w:val="clear" w:color="auto" w:fill="66CCFF"/>
            <w:noWrap/>
            <w:vAlign w:val="center"/>
          </w:tcPr>
          <w:p w:rsidR="00A50899" w:rsidRPr="00880127" w:rsidRDefault="00A50899" w:rsidP="00A324B6">
            <w:pPr>
              <w:pStyle w:val="Bang2"/>
              <w:keepNext w:val="0"/>
              <w:spacing w:before="0" w:after="0"/>
              <w:jc w:val="center"/>
              <w:rPr>
                <w:rFonts w:eastAsia="Calibri"/>
                <w:b/>
                <w:sz w:val="18"/>
                <w:szCs w:val="18"/>
              </w:rPr>
            </w:pPr>
            <w:r w:rsidRPr="00880127">
              <w:rPr>
                <w:b/>
                <w:sz w:val="18"/>
                <w:szCs w:val="18"/>
              </w:rPr>
              <w:t>Tỷ lệ cơ cấu đầu tư NC&amp;PT theo nguồn (%)</w:t>
            </w:r>
          </w:p>
        </w:tc>
      </w:tr>
      <w:tr w:rsidR="00A50899" w:rsidRPr="003C482C" w:rsidTr="00A324B6">
        <w:trPr>
          <w:trHeight w:val="201"/>
          <w:jc w:val="center"/>
        </w:trPr>
        <w:tc>
          <w:tcPr>
            <w:tcW w:w="2192" w:type="dxa"/>
            <w:tcBorders>
              <w:top w:val="single" w:sz="4" w:space="0" w:color="auto"/>
              <w:left w:val="single" w:sz="4" w:space="0" w:color="auto"/>
              <w:bottom w:val="single" w:sz="4" w:space="0" w:color="auto"/>
              <w:right w:val="single" w:sz="4" w:space="0" w:color="auto"/>
            </w:tcBorders>
            <w:noWrap/>
            <w:vAlign w:val="center"/>
          </w:tcPr>
          <w:p w:rsidR="00A50899" w:rsidRPr="003C482C" w:rsidRDefault="00A50899" w:rsidP="00A324B6">
            <w:pPr>
              <w:pStyle w:val="Bang2"/>
              <w:keepNext w:val="0"/>
              <w:spacing w:before="0" w:after="0"/>
              <w:rPr>
                <w:rFonts w:eastAsia="Calibri"/>
                <w:b/>
                <w:i/>
                <w:szCs w:val="20"/>
              </w:rPr>
            </w:pPr>
            <w:r w:rsidRPr="003C482C">
              <w:rPr>
                <w:b/>
                <w:i/>
                <w:szCs w:val="20"/>
              </w:rPr>
              <w:t>Tổng số</w:t>
            </w:r>
          </w:p>
        </w:tc>
        <w:tc>
          <w:tcPr>
            <w:tcW w:w="2406" w:type="dxa"/>
            <w:tcBorders>
              <w:top w:val="single" w:sz="4" w:space="0" w:color="auto"/>
              <w:left w:val="single" w:sz="4" w:space="0" w:color="auto"/>
              <w:bottom w:val="single" w:sz="4" w:space="0" w:color="auto"/>
              <w:right w:val="single" w:sz="4" w:space="0" w:color="auto"/>
            </w:tcBorders>
            <w:noWrap/>
          </w:tcPr>
          <w:p w:rsidR="00A50899" w:rsidRPr="003C482C" w:rsidRDefault="00A50899" w:rsidP="00A324B6">
            <w:pPr>
              <w:pStyle w:val="Bang2"/>
              <w:keepNext w:val="0"/>
              <w:spacing w:before="0" w:after="0"/>
              <w:ind w:right="678"/>
              <w:jc w:val="right"/>
              <w:rPr>
                <w:rFonts w:eastAsia="Calibri"/>
                <w:b/>
                <w:i/>
                <w:szCs w:val="20"/>
              </w:rPr>
            </w:pPr>
            <w:r w:rsidRPr="003C482C">
              <w:rPr>
                <w:b/>
                <w:i/>
                <w:szCs w:val="20"/>
              </w:rPr>
              <w:t>13.390,6</w:t>
            </w:r>
          </w:p>
        </w:tc>
        <w:tc>
          <w:tcPr>
            <w:tcW w:w="2301" w:type="dxa"/>
            <w:tcBorders>
              <w:top w:val="single" w:sz="4" w:space="0" w:color="auto"/>
              <w:left w:val="single" w:sz="4" w:space="0" w:color="auto"/>
              <w:bottom w:val="single" w:sz="4" w:space="0" w:color="auto"/>
              <w:right w:val="single" w:sz="4" w:space="0" w:color="auto"/>
            </w:tcBorders>
            <w:noWrap/>
          </w:tcPr>
          <w:p w:rsidR="00A50899" w:rsidRPr="003C482C" w:rsidRDefault="00A50899" w:rsidP="00A324B6">
            <w:pPr>
              <w:pStyle w:val="Bang2"/>
              <w:keepNext w:val="0"/>
              <w:spacing w:before="0" w:after="0"/>
              <w:ind w:right="810"/>
              <w:jc w:val="right"/>
              <w:rPr>
                <w:rFonts w:eastAsia="Calibri"/>
                <w:b/>
                <w:i/>
                <w:szCs w:val="20"/>
              </w:rPr>
            </w:pPr>
            <w:r w:rsidRPr="003C482C">
              <w:rPr>
                <w:b/>
                <w:i/>
                <w:szCs w:val="20"/>
              </w:rPr>
              <w:t>100,0</w:t>
            </w:r>
          </w:p>
        </w:tc>
      </w:tr>
      <w:tr w:rsidR="00A50899" w:rsidRPr="00742D20" w:rsidTr="00A324B6">
        <w:trPr>
          <w:trHeight w:val="201"/>
          <w:jc w:val="center"/>
        </w:trPr>
        <w:tc>
          <w:tcPr>
            <w:tcW w:w="2192" w:type="dxa"/>
            <w:tcBorders>
              <w:top w:val="single" w:sz="4" w:space="0" w:color="auto"/>
              <w:left w:val="single" w:sz="4" w:space="0" w:color="auto"/>
              <w:bottom w:val="single" w:sz="4" w:space="0" w:color="auto"/>
              <w:right w:val="single" w:sz="4" w:space="0" w:color="auto"/>
            </w:tcBorders>
            <w:noWrap/>
            <w:vAlign w:val="center"/>
          </w:tcPr>
          <w:p w:rsidR="00A50899" w:rsidRPr="00880127" w:rsidRDefault="00A50899" w:rsidP="00A324B6">
            <w:pPr>
              <w:pStyle w:val="Bang2"/>
              <w:keepNext w:val="0"/>
              <w:spacing w:before="0" w:after="0"/>
              <w:rPr>
                <w:rFonts w:eastAsia="Calibri"/>
                <w:szCs w:val="20"/>
              </w:rPr>
            </w:pPr>
            <w:r w:rsidRPr="00880127">
              <w:rPr>
                <w:szCs w:val="20"/>
              </w:rPr>
              <w:t>NSNN</w:t>
            </w:r>
          </w:p>
        </w:tc>
        <w:tc>
          <w:tcPr>
            <w:tcW w:w="2406" w:type="dxa"/>
            <w:tcBorders>
              <w:top w:val="single" w:sz="4" w:space="0" w:color="auto"/>
              <w:left w:val="single" w:sz="4" w:space="0" w:color="auto"/>
              <w:bottom w:val="single" w:sz="4" w:space="0" w:color="auto"/>
              <w:right w:val="single" w:sz="4" w:space="0" w:color="auto"/>
            </w:tcBorders>
            <w:noWrap/>
          </w:tcPr>
          <w:p w:rsidR="00A50899" w:rsidRPr="00880127" w:rsidRDefault="00A50899" w:rsidP="00A324B6">
            <w:pPr>
              <w:pStyle w:val="Bang2"/>
              <w:keepNext w:val="0"/>
              <w:spacing w:before="0" w:after="0"/>
              <w:ind w:right="678"/>
              <w:jc w:val="right"/>
              <w:rPr>
                <w:rFonts w:eastAsia="Calibri"/>
                <w:szCs w:val="20"/>
              </w:rPr>
            </w:pPr>
            <w:r w:rsidRPr="00880127">
              <w:rPr>
                <w:szCs w:val="20"/>
              </w:rPr>
              <w:t>7.591,6</w:t>
            </w:r>
          </w:p>
        </w:tc>
        <w:tc>
          <w:tcPr>
            <w:tcW w:w="2301" w:type="dxa"/>
            <w:tcBorders>
              <w:top w:val="single" w:sz="4" w:space="0" w:color="auto"/>
              <w:left w:val="single" w:sz="4" w:space="0" w:color="auto"/>
              <w:bottom w:val="single" w:sz="4" w:space="0" w:color="auto"/>
              <w:right w:val="single" w:sz="4" w:space="0" w:color="auto"/>
            </w:tcBorders>
            <w:noWrap/>
          </w:tcPr>
          <w:p w:rsidR="00A50899" w:rsidRPr="00880127" w:rsidRDefault="00A50899" w:rsidP="00A324B6">
            <w:pPr>
              <w:pStyle w:val="Bang2"/>
              <w:keepNext w:val="0"/>
              <w:spacing w:before="0" w:after="0"/>
              <w:ind w:right="810"/>
              <w:jc w:val="right"/>
              <w:rPr>
                <w:rFonts w:eastAsia="Calibri"/>
                <w:szCs w:val="20"/>
              </w:rPr>
            </w:pPr>
            <w:r w:rsidRPr="00880127">
              <w:rPr>
                <w:szCs w:val="20"/>
              </w:rPr>
              <w:t>56,7</w:t>
            </w:r>
          </w:p>
        </w:tc>
      </w:tr>
      <w:tr w:rsidR="00A50899" w:rsidRPr="00742D20" w:rsidTr="00A324B6">
        <w:trPr>
          <w:trHeight w:val="201"/>
          <w:jc w:val="center"/>
        </w:trPr>
        <w:tc>
          <w:tcPr>
            <w:tcW w:w="2192" w:type="dxa"/>
            <w:tcBorders>
              <w:top w:val="single" w:sz="4" w:space="0" w:color="auto"/>
              <w:left w:val="single" w:sz="4" w:space="0" w:color="auto"/>
              <w:bottom w:val="single" w:sz="4" w:space="0" w:color="auto"/>
              <w:right w:val="single" w:sz="4" w:space="0" w:color="auto"/>
            </w:tcBorders>
            <w:noWrap/>
            <w:vAlign w:val="center"/>
          </w:tcPr>
          <w:p w:rsidR="00A50899" w:rsidRPr="00880127" w:rsidRDefault="00A50899" w:rsidP="00A324B6">
            <w:pPr>
              <w:pStyle w:val="Bang2"/>
              <w:keepNext w:val="0"/>
              <w:spacing w:before="0" w:after="0"/>
              <w:rPr>
                <w:rFonts w:eastAsia="Calibri"/>
                <w:szCs w:val="20"/>
              </w:rPr>
            </w:pPr>
            <w:r w:rsidRPr="00880127">
              <w:rPr>
                <w:szCs w:val="20"/>
              </w:rPr>
              <w:t>Doanh nghiệp</w:t>
            </w:r>
          </w:p>
        </w:tc>
        <w:tc>
          <w:tcPr>
            <w:tcW w:w="2406" w:type="dxa"/>
            <w:tcBorders>
              <w:top w:val="single" w:sz="4" w:space="0" w:color="auto"/>
              <w:left w:val="single" w:sz="4" w:space="0" w:color="auto"/>
              <w:bottom w:val="single" w:sz="4" w:space="0" w:color="auto"/>
              <w:right w:val="single" w:sz="4" w:space="0" w:color="auto"/>
            </w:tcBorders>
            <w:noWrap/>
          </w:tcPr>
          <w:p w:rsidR="00A50899" w:rsidRPr="00880127" w:rsidRDefault="00A50899" w:rsidP="00A324B6">
            <w:pPr>
              <w:pStyle w:val="Bang2"/>
              <w:keepNext w:val="0"/>
              <w:spacing w:before="0" w:after="0"/>
              <w:ind w:right="678"/>
              <w:jc w:val="right"/>
              <w:rPr>
                <w:rFonts w:eastAsia="Calibri"/>
                <w:szCs w:val="20"/>
              </w:rPr>
            </w:pPr>
            <w:r w:rsidRPr="00880127">
              <w:rPr>
                <w:szCs w:val="20"/>
              </w:rPr>
              <w:t>5.597,3</w:t>
            </w:r>
          </w:p>
        </w:tc>
        <w:tc>
          <w:tcPr>
            <w:tcW w:w="2301" w:type="dxa"/>
            <w:tcBorders>
              <w:top w:val="single" w:sz="4" w:space="0" w:color="auto"/>
              <w:left w:val="single" w:sz="4" w:space="0" w:color="auto"/>
              <w:bottom w:val="single" w:sz="4" w:space="0" w:color="auto"/>
              <w:right w:val="single" w:sz="4" w:space="0" w:color="auto"/>
            </w:tcBorders>
            <w:noWrap/>
          </w:tcPr>
          <w:p w:rsidR="00A50899" w:rsidRPr="00880127" w:rsidRDefault="00A50899" w:rsidP="00A324B6">
            <w:pPr>
              <w:pStyle w:val="Bang2"/>
              <w:keepNext w:val="0"/>
              <w:spacing w:before="0" w:after="0"/>
              <w:ind w:right="810"/>
              <w:jc w:val="right"/>
              <w:rPr>
                <w:rFonts w:eastAsia="Calibri"/>
                <w:szCs w:val="20"/>
              </w:rPr>
            </w:pPr>
            <w:r w:rsidRPr="00880127">
              <w:rPr>
                <w:szCs w:val="20"/>
              </w:rPr>
              <w:t>41,8</w:t>
            </w:r>
          </w:p>
        </w:tc>
      </w:tr>
      <w:tr w:rsidR="00A50899" w:rsidRPr="00742D20" w:rsidTr="00A324B6">
        <w:trPr>
          <w:trHeight w:val="201"/>
          <w:jc w:val="center"/>
        </w:trPr>
        <w:tc>
          <w:tcPr>
            <w:tcW w:w="2192" w:type="dxa"/>
            <w:tcBorders>
              <w:top w:val="single" w:sz="4" w:space="0" w:color="auto"/>
              <w:left w:val="single" w:sz="4" w:space="0" w:color="auto"/>
              <w:bottom w:val="single" w:sz="4" w:space="0" w:color="auto"/>
              <w:right w:val="single" w:sz="4" w:space="0" w:color="auto"/>
            </w:tcBorders>
            <w:noWrap/>
            <w:vAlign w:val="center"/>
          </w:tcPr>
          <w:p w:rsidR="00A50899" w:rsidRPr="00880127" w:rsidRDefault="00A50899" w:rsidP="00A324B6">
            <w:pPr>
              <w:pStyle w:val="Bang2"/>
              <w:keepNext w:val="0"/>
              <w:spacing w:before="0" w:after="0"/>
              <w:rPr>
                <w:rFonts w:eastAsia="Calibri"/>
                <w:szCs w:val="20"/>
              </w:rPr>
            </w:pPr>
            <w:r w:rsidRPr="00880127">
              <w:rPr>
                <w:szCs w:val="20"/>
              </w:rPr>
              <w:t>Vốn nước ngoài</w:t>
            </w:r>
          </w:p>
        </w:tc>
        <w:tc>
          <w:tcPr>
            <w:tcW w:w="2406" w:type="dxa"/>
            <w:tcBorders>
              <w:top w:val="single" w:sz="4" w:space="0" w:color="auto"/>
              <w:left w:val="single" w:sz="4" w:space="0" w:color="auto"/>
              <w:bottom w:val="single" w:sz="4" w:space="0" w:color="auto"/>
              <w:right w:val="single" w:sz="4" w:space="0" w:color="auto"/>
            </w:tcBorders>
            <w:noWrap/>
          </w:tcPr>
          <w:p w:rsidR="00A50899" w:rsidRPr="00880127" w:rsidRDefault="00A50899" w:rsidP="00A324B6">
            <w:pPr>
              <w:pStyle w:val="Bang2"/>
              <w:keepNext w:val="0"/>
              <w:spacing w:before="0" w:after="0"/>
              <w:ind w:right="678"/>
              <w:jc w:val="right"/>
              <w:rPr>
                <w:rFonts w:eastAsia="Calibri"/>
                <w:szCs w:val="20"/>
              </w:rPr>
            </w:pPr>
            <w:r w:rsidRPr="00880127">
              <w:rPr>
                <w:szCs w:val="20"/>
              </w:rPr>
              <w:t>201,7</w:t>
            </w:r>
          </w:p>
        </w:tc>
        <w:tc>
          <w:tcPr>
            <w:tcW w:w="2301" w:type="dxa"/>
            <w:tcBorders>
              <w:top w:val="single" w:sz="4" w:space="0" w:color="auto"/>
              <w:left w:val="single" w:sz="4" w:space="0" w:color="auto"/>
              <w:bottom w:val="single" w:sz="4" w:space="0" w:color="auto"/>
              <w:right w:val="single" w:sz="4" w:space="0" w:color="auto"/>
            </w:tcBorders>
            <w:noWrap/>
          </w:tcPr>
          <w:p w:rsidR="00A50899" w:rsidRPr="00880127" w:rsidRDefault="00A50899" w:rsidP="00A324B6">
            <w:pPr>
              <w:pStyle w:val="Bang2"/>
              <w:keepNext w:val="0"/>
              <w:spacing w:before="0" w:after="0"/>
              <w:ind w:right="810"/>
              <w:jc w:val="right"/>
              <w:rPr>
                <w:rFonts w:eastAsia="Calibri"/>
                <w:szCs w:val="20"/>
              </w:rPr>
            </w:pPr>
            <w:r w:rsidRPr="00880127">
              <w:rPr>
                <w:szCs w:val="20"/>
              </w:rPr>
              <w:t>1,5</w:t>
            </w:r>
          </w:p>
        </w:tc>
      </w:tr>
    </w:tbl>
    <w:p w:rsidR="00A50899" w:rsidRPr="00742D20" w:rsidRDefault="00A50899" w:rsidP="00A50899">
      <w:pPr>
        <w:pStyle w:val="nguon"/>
      </w:pPr>
      <w:r w:rsidRPr="00742D20">
        <w:t>Nguồn: Sách “Khoa học và Công nghệ Việt Nam 20</w:t>
      </w:r>
      <w:r>
        <w:t>14", Bộ Khoa học và Công nghệ (tr.</w:t>
      </w:r>
      <w:r w:rsidRPr="00742D20">
        <w:t xml:space="preserve"> 83</w:t>
      </w:r>
      <w:r>
        <w:rPr>
          <w:lang w:val="en-US"/>
        </w:rPr>
        <w:t xml:space="preserve"> </w:t>
      </w:r>
      <w:r w:rsidRPr="00742D20">
        <w:t>-</w:t>
      </w:r>
      <w:r>
        <w:rPr>
          <w:lang w:val="en-US"/>
        </w:rPr>
        <w:t xml:space="preserve"> </w:t>
      </w:r>
      <w:r w:rsidRPr="00742D20">
        <w:t>85)</w:t>
      </w:r>
    </w:p>
    <w:p w:rsidR="00A50899" w:rsidRPr="00454A79" w:rsidRDefault="00A50899" w:rsidP="00A50899">
      <w:pPr>
        <w:pStyle w:val="bodyA0"/>
        <w:spacing w:before="80" w:after="0" w:line="264" w:lineRule="auto"/>
        <w:rPr>
          <w:lang w:val="vi-VN"/>
        </w:rPr>
      </w:pPr>
      <w:r w:rsidRPr="00454A79">
        <w:rPr>
          <w:lang w:val="vi-VN"/>
        </w:rPr>
        <w:t xml:space="preserve">So sánh tỷ lệ </w:t>
      </w:r>
      <w:r>
        <w:rPr>
          <w:lang w:val="vi-VN"/>
        </w:rPr>
        <w:t>tổng chi quốc gia</w:t>
      </w:r>
      <w:r w:rsidRPr="00454A79">
        <w:rPr>
          <w:lang w:val="vi-VN"/>
        </w:rPr>
        <w:t xml:space="preserve"> cho NC&amp;PT/GDP của Việt Nam với một số quốc gia trong khu vực, cho thấy, tỷ lệ chi cho NC&amp;PT/GDP ở 28 quốc gia EU năm 2013 là 2,01%, Hoa Kỳ năm 2012 là 2,81%, Trung Quốc năm 2013 là 2,01%, Hàn Quốc năm 2013 là 4,15%, Malaysia năm 2011 là 1,07%, Singapo năm 2013 là 2,1%, Thái Lan năm 2011 là 0,39%, Phillipin năm 2009 là 0,11%, Inđônêsia năm 2009 là 0,08% </w:t>
      </w:r>
      <w:r>
        <w:rPr>
          <w:lang w:val="vi-VN"/>
        </w:rPr>
        <w:t xml:space="preserve">(Bảng </w:t>
      </w:r>
      <w:r w:rsidR="00320ECA">
        <w:rPr>
          <w:lang w:val="en-US"/>
        </w:rPr>
        <w:t>1</w:t>
      </w:r>
      <w:r>
        <w:rPr>
          <w:lang w:val="vi-VN"/>
        </w:rPr>
        <w:t>.1</w:t>
      </w:r>
      <w:r w:rsidRPr="00454A79">
        <w:rPr>
          <w:lang w:val="vi-VN"/>
        </w:rPr>
        <w:t>8</w:t>
      </w:r>
      <w:r>
        <w:rPr>
          <w:lang w:val="vi-VN"/>
        </w:rPr>
        <w:t>)</w:t>
      </w:r>
      <w:r w:rsidRPr="00454A79">
        <w:rPr>
          <w:lang w:val="vi-VN"/>
        </w:rPr>
        <w:t>.</w:t>
      </w:r>
      <w:bookmarkStart w:id="44" w:name="_Toc453342474"/>
    </w:p>
    <w:p w:rsidR="00A50899" w:rsidRPr="00454A79" w:rsidRDefault="00A50899" w:rsidP="00A50899">
      <w:pPr>
        <w:pStyle w:val="khcnvntenhinh"/>
        <w:spacing w:before="160"/>
        <w:rPr>
          <w:lang w:val="vi-VN"/>
        </w:rPr>
      </w:pPr>
      <w:r w:rsidRPr="00454A79">
        <w:rPr>
          <w:b/>
          <w:i/>
          <w:lang w:val="vi-VN"/>
        </w:rPr>
        <w:t xml:space="preserve">Bảng </w:t>
      </w:r>
      <w:r w:rsidR="00320ECA">
        <w:rPr>
          <w:b/>
          <w:i/>
        </w:rPr>
        <w:t>1</w:t>
      </w:r>
      <w:r w:rsidRPr="00454A79">
        <w:rPr>
          <w:b/>
          <w:i/>
          <w:lang w:val="vi-VN"/>
        </w:rPr>
        <w:t>.18.</w:t>
      </w:r>
      <w:r w:rsidRPr="00454A79">
        <w:rPr>
          <w:lang w:val="vi-VN"/>
        </w:rPr>
        <w:t xml:space="preserve"> Tổng chi quốc gia cho NC&amp;PT/GDP của một số quốc gia trong khu vực và trên thế giới</w:t>
      </w:r>
      <w:bookmarkEnd w:id="4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2550"/>
      </w:tblGrid>
      <w:tr w:rsidR="00A50899" w:rsidRPr="007E1313" w:rsidTr="00A324B6">
        <w:trPr>
          <w:tblHeade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66CCFF"/>
            <w:tcMar>
              <w:top w:w="28" w:type="dxa"/>
              <w:bottom w:w="28" w:type="dxa"/>
            </w:tcMar>
            <w:vAlign w:val="center"/>
          </w:tcPr>
          <w:p w:rsidR="00A50899" w:rsidRPr="00454A79" w:rsidRDefault="00A50899" w:rsidP="00A324B6">
            <w:pPr>
              <w:pStyle w:val="Bang2"/>
              <w:keepNext w:val="0"/>
              <w:spacing w:before="20" w:after="20"/>
              <w:jc w:val="center"/>
              <w:rPr>
                <w:rFonts w:cs="Arial"/>
                <w:b/>
                <w:szCs w:val="20"/>
                <w:lang w:val="vi-VN"/>
              </w:rPr>
            </w:pPr>
            <w:r w:rsidRPr="00454A79">
              <w:rPr>
                <w:rFonts w:cs="Arial"/>
                <w:b/>
                <w:szCs w:val="20"/>
                <w:lang w:val="vi-VN"/>
              </w:rPr>
              <w:t>Quốc gia, lãnh thổ (số liệu năm)</w:t>
            </w:r>
          </w:p>
        </w:tc>
        <w:tc>
          <w:tcPr>
            <w:tcW w:w="2550" w:type="dxa"/>
            <w:tcBorders>
              <w:top w:val="single" w:sz="4" w:space="0" w:color="000000"/>
              <w:left w:val="single" w:sz="4" w:space="0" w:color="000000"/>
              <w:bottom w:val="single" w:sz="4" w:space="0" w:color="000000"/>
              <w:right w:val="single" w:sz="4" w:space="0" w:color="000000"/>
            </w:tcBorders>
            <w:shd w:val="clear" w:color="auto" w:fill="66CCFF"/>
            <w:tcMar>
              <w:top w:w="28" w:type="dxa"/>
              <w:bottom w:w="28" w:type="dxa"/>
            </w:tcMar>
            <w:vAlign w:val="center"/>
          </w:tcPr>
          <w:p w:rsidR="00A50899" w:rsidRPr="007E1313" w:rsidRDefault="00A50899" w:rsidP="00A324B6">
            <w:pPr>
              <w:pStyle w:val="Bang2"/>
              <w:keepNext w:val="0"/>
              <w:spacing w:before="20" w:after="20"/>
              <w:jc w:val="center"/>
              <w:rPr>
                <w:rFonts w:cs="Arial"/>
                <w:b/>
                <w:szCs w:val="20"/>
                <w:lang w:val="vi-VN"/>
              </w:rPr>
            </w:pPr>
            <w:r w:rsidRPr="007E1313">
              <w:rPr>
                <w:rFonts w:cs="Arial"/>
                <w:b/>
                <w:szCs w:val="20"/>
                <w:lang w:val="en-GB"/>
              </w:rPr>
              <w:t>T</w:t>
            </w:r>
            <w:r w:rsidRPr="007E1313">
              <w:rPr>
                <w:rFonts w:cs="Arial"/>
                <w:b/>
                <w:szCs w:val="20"/>
                <w:lang w:val="vi-VN"/>
              </w:rPr>
              <w:t>ổng chi QG cho NC&amp;PT/</w:t>
            </w:r>
            <w:r w:rsidRPr="007E1313">
              <w:rPr>
                <w:rFonts w:cs="Arial"/>
                <w:b/>
                <w:szCs w:val="20"/>
                <w:lang w:val="en-GB"/>
              </w:rPr>
              <w:t>GDP</w:t>
            </w:r>
            <w:r w:rsidRPr="007E1313">
              <w:rPr>
                <w:rFonts w:cs="Arial"/>
                <w:b/>
                <w:szCs w:val="20"/>
                <w:lang w:val="vi-VN"/>
              </w:rPr>
              <w:t xml:space="preserve"> (%)</w:t>
            </w:r>
          </w:p>
        </w:tc>
      </w:tr>
      <w:tr w:rsidR="00A50899" w:rsidRPr="005B0B71" w:rsidTr="00A324B6">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keepNext w:val="0"/>
              <w:spacing w:before="0" w:after="0"/>
              <w:rPr>
                <w:rFonts w:cs="Arial"/>
                <w:szCs w:val="20"/>
                <w:lang w:val="en-GB"/>
              </w:rPr>
            </w:pPr>
            <w:r w:rsidRPr="007E1313">
              <w:rPr>
                <w:rFonts w:cs="Arial"/>
                <w:szCs w:val="20"/>
                <w:lang w:val="en-GB"/>
              </w:rPr>
              <w:t>28 quốc gia EU (2013)</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keepNext w:val="0"/>
              <w:spacing w:before="0" w:after="0"/>
              <w:ind w:right="971"/>
              <w:jc w:val="right"/>
              <w:rPr>
                <w:rFonts w:cs="Arial"/>
                <w:color w:val="000000"/>
                <w:szCs w:val="20"/>
              </w:rPr>
            </w:pPr>
            <w:r w:rsidRPr="007E1313">
              <w:rPr>
                <w:rFonts w:cs="Arial"/>
                <w:color w:val="000000"/>
                <w:szCs w:val="20"/>
              </w:rPr>
              <w:t>2,01</w:t>
            </w:r>
          </w:p>
        </w:tc>
      </w:tr>
      <w:tr w:rsidR="00A50899" w:rsidRPr="005B0B71" w:rsidTr="00A324B6">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keepNext w:val="0"/>
              <w:spacing w:before="0" w:after="0"/>
              <w:rPr>
                <w:rFonts w:cs="Arial"/>
                <w:szCs w:val="20"/>
                <w:lang w:val="en-GB"/>
              </w:rPr>
            </w:pPr>
            <w:r w:rsidRPr="007E1313">
              <w:rPr>
                <w:rFonts w:cs="Arial"/>
                <w:szCs w:val="20"/>
                <w:lang w:val="en-GB"/>
              </w:rPr>
              <w:t>Hoa Kỳ (2012)</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keepNext w:val="0"/>
              <w:spacing w:before="0" w:after="0"/>
              <w:ind w:right="971"/>
              <w:jc w:val="right"/>
              <w:rPr>
                <w:rFonts w:cs="Arial"/>
                <w:color w:val="000000"/>
                <w:szCs w:val="20"/>
              </w:rPr>
            </w:pPr>
            <w:r w:rsidRPr="007E1313">
              <w:rPr>
                <w:rFonts w:cs="Arial"/>
                <w:color w:val="000000"/>
                <w:szCs w:val="20"/>
              </w:rPr>
              <w:t>2,81</w:t>
            </w:r>
          </w:p>
        </w:tc>
      </w:tr>
      <w:tr w:rsidR="00A50899" w:rsidRPr="005B0B71" w:rsidTr="00A324B6">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keepNext w:val="0"/>
              <w:spacing w:before="0" w:after="0"/>
              <w:rPr>
                <w:rFonts w:cs="Arial"/>
                <w:szCs w:val="20"/>
                <w:lang w:val="en-GB"/>
              </w:rPr>
            </w:pPr>
            <w:r w:rsidRPr="007E1313">
              <w:rPr>
                <w:rFonts w:cs="Arial"/>
                <w:szCs w:val="20"/>
                <w:lang w:val="en-GB"/>
              </w:rPr>
              <w:t>Liên bang Nga (2013)</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keepNext w:val="0"/>
              <w:spacing w:before="0" w:after="0"/>
              <w:ind w:right="971"/>
              <w:jc w:val="right"/>
              <w:rPr>
                <w:rFonts w:cs="Arial"/>
                <w:color w:val="000000"/>
                <w:szCs w:val="20"/>
              </w:rPr>
            </w:pPr>
            <w:r w:rsidRPr="007E1313">
              <w:rPr>
                <w:rFonts w:cs="Arial"/>
                <w:color w:val="000000"/>
                <w:szCs w:val="20"/>
              </w:rPr>
              <w:t>1,13</w:t>
            </w:r>
          </w:p>
        </w:tc>
      </w:tr>
      <w:tr w:rsidR="00A50899" w:rsidRPr="005B0B71" w:rsidTr="00A324B6">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keepNext w:val="0"/>
              <w:spacing w:before="0" w:after="0"/>
              <w:rPr>
                <w:rFonts w:cs="Arial"/>
                <w:szCs w:val="20"/>
                <w:lang w:val="en-GB"/>
              </w:rPr>
            </w:pPr>
            <w:r w:rsidRPr="007E1313">
              <w:rPr>
                <w:rFonts w:cs="Arial"/>
                <w:szCs w:val="20"/>
                <w:lang w:val="en-GB"/>
              </w:rPr>
              <w:t>Trung Quốc (2013)</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keepNext w:val="0"/>
              <w:spacing w:before="0" w:after="0"/>
              <w:ind w:right="971"/>
              <w:jc w:val="right"/>
              <w:rPr>
                <w:rFonts w:cs="Arial"/>
                <w:color w:val="000000"/>
                <w:szCs w:val="20"/>
              </w:rPr>
            </w:pPr>
            <w:r w:rsidRPr="007E1313">
              <w:rPr>
                <w:rFonts w:cs="Arial"/>
                <w:color w:val="000000"/>
                <w:szCs w:val="20"/>
              </w:rPr>
              <w:t>2,01</w:t>
            </w:r>
          </w:p>
        </w:tc>
      </w:tr>
      <w:tr w:rsidR="00A50899" w:rsidRPr="005B0B71" w:rsidTr="00A324B6">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keepNext w:val="0"/>
              <w:spacing w:before="0" w:after="0"/>
              <w:rPr>
                <w:rFonts w:cs="Arial"/>
                <w:szCs w:val="20"/>
                <w:lang w:val="en-GB"/>
              </w:rPr>
            </w:pPr>
            <w:r w:rsidRPr="007E1313">
              <w:rPr>
                <w:rFonts w:cs="Arial"/>
                <w:szCs w:val="20"/>
                <w:lang w:val="en-GB"/>
              </w:rPr>
              <w:t>Nhật Bản (2013)</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keepNext w:val="0"/>
              <w:spacing w:before="0" w:after="0"/>
              <w:ind w:right="971"/>
              <w:jc w:val="right"/>
              <w:rPr>
                <w:rFonts w:cs="Arial"/>
                <w:color w:val="000000"/>
                <w:szCs w:val="20"/>
              </w:rPr>
            </w:pPr>
            <w:r w:rsidRPr="007E1313">
              <w:rPr>
                <w:rFonts w:cs="Arial"/>
                <w:color w:val="000000"/>
                <w:szCs w:val="20"/>
              </w:rPr>
              <w:t>3,47</w:t>
            </w:r>
          </w:p>
        </w:tc>
      </w:tr>
      <w:tr w:rsidR="00A50899" w:rsidRPr="005B0B71" w:rsidTr="00A324B6">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keepNext w:val="0"/>
              <w:spacing w:before="0" w:after="0"/>
              <w:rPr>
                <w:rFonts w:cs="Arial"/>
                <w:szCs w:val="20"/>
                <w:lang w:val="en-GB"/>
              </w:rPr>
            </w:pPr>
            <w:r w:rsidRPr="007E1313">
              <w:rPr>
                <w:rFonts w:cs="Arial"/>
                <w:szCs w:val="20"/>
                <w:lang w:val="en-GB"/>
              </w:rPr>
              <w:t>Hàn Quốc (2013)</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keepNext w:val="0"/>
              <w:spacing w:before="0" w:after="0"/>
              <w:ind w:right="971"/>
              <w:jc w:val="right"/>
              <w:rPr>
                <w:rFonts w:cs="Arial"/>
                <w:color w:val="000000"/>
                <w:szCs w:val="20"/>
              </w:rPr>
            </w:pPr>
            <w:r w:rsidRPr="007E1313">
              <w:rPr>
                <w:rFonts w:cs="Arial"/>
                <w:color w:val="000000"/>
                <w:szCs w:val="20"/>
              </w:rPr>
              <w:t>4,15</w:t>
            </w:r>
          </w:p>
        </w:tc>
      </w:tr>
      <w:tr w:rsidR="00A50899" w:rsidRPr="005B0B71" w:rsidTr="00A324B6">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keepNext w:val="0"/>
              <w:spacing w:before="0" w:after="0"/>
              <w:rPr>
                <w:rFonts w:cs="Arial"/>
                <w:szCs w:val="20"/>
                <w:lang w:val="en-GB"/>
              </w:rPr>
            </w:pPr>
            <w:r w:rsidRPr="007E1313">
              <w:rPr>
                <w:rFonts w:cs="Arial"/>
                <w:szCs w:val="20"/>
                <w:lang w:val="en-GB"/>
              </w:rPr>
              <w:t>Singapo (2013)</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keepNext w:val="0"/>
              <w:spacing w:before="0" w:after="0"/>
              <w:ind w:right="971"/>
              <w:jc w:val="right"/>
              <w:rPr>
                <w:rFonts w:cs="Arial"/>
                <w:color w:val="000000"/>
                <w:szCs w:val="20"/>
              </w:rPr>
            </w:pPr>
            <w:r w:rsidRPr="007E1313">
              <w:rPr>
                <w:rFonts w:cs="Arial"/>
                <w:color w:val="000000"/>
                <w:szCs w:val="20"/>
              </w:rPr>
              <w:t>2,10</w:t>
            </w:r>
          </w:p>
        </w:tc>
      </w:tr>
      <w:tr w:rsidR="00A50899" w:rsidRPr="005B0B71" w:rsidTr="00A324B6">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keepNext w:val="0"/>
              <w:spacing w:before="0" w:after="0"/>
              <w:rPr>
                <w:rFonts w:cs="Arial"/>
                <w:szCs w:val="20"/>
                <w:lang w:val="en-GB"/>
              </w:rPr>
            </w:pPr>
            <w:r w:rsidRPr="007E1313">
              <w:rPr>
                <w:rFonts w:cs="Arial"/>
                <w:szCs w:val="20"/>
                <w:lang w:val="en-GB"/>
              </w:rPr>
              <w:t>Malaysia (2011)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keepNext w:val="0"/>
              <w:spacing w:before="0" w:after="0"/>
              <w:ind w:right="971"/>
              <w:jc w:val="right"/>
              <w:rPr>
                <w:rFonts w:cs="Arial"/>
                <w:color w:val="000000"/>
                <w:szCs w:val="20"/>
              </w:rPr>
            </w:pPr>
            <w:r w:rsidRPr="007E1313">
              <w:rPr>
                <w:rFonts w:cs="Arial"/>
                <w:color w:val="000000"/>
                <w:szCs w:val="20"/>
              </w:rPr>
              <w:t>1,07</w:t>
            </w:r>
          </w:p>
        </w:tc>
      </w:tr>
      <w:tr w:rsidR="00A50899" w:rsidRPr="005B0B71" w:rsidTr="00A324B6">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keepNext w:val="0"/>
              <w:spacing w:before="0" w:after="0"/>
              <w:rPr>
                <w:rFonts w:cs="Arial"/>
                <w:szCs w:val="20"/>
                <w:lang w:val="en-GB"/>
              </w:rPr>
            </w:pPr>
            <w:r w:rsidRPr="007E1313">
              <w:rPr>
                <w:rFonts w:cs="Arial"/>
                <w:szCs w:val="20"/>
                <w:lang w:val="en-GB"/>
              </w:rPr>
              <w:t>Việt Nam (2013)</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keepNext w:val="0"/>
              <w:spacing w:before="0" w:after="0"/>
              <w:ind w:right="971"/>
              <w:jc w:val="right"/>
              <w:rPr>
                <w:rFonts w:cs="Arial"/>
                <w:color w:val="000000"/>
                <w:szCs w:val="20"/>
              </w:rPr>
            </w:pPr>
            <w:r w:rsidRPr="007E1313">
              <w:rPr>
                <w:rFonts w:cs="Arial"/>
                <w:color w:val="000000"/>
                <w:szCs w:val="20"/>
              </w:rPr>
              <w:t>0,37</w:t>
            </w:r>
          </w:p>
        </w:tc>
      </w:tr>
      <w:tr w:rsidR="00A50899" w:rsidRPr="005B0B71" w:rsidTr="00A324B6">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keepNext w:val="0"/>
              <w:spacing w:before="0" w:after="0"/>
              <w:rPr>
                <w:rFonts w:cs="Arial"/>
                <w:szCs w:val="20"/>
                <w:lang w:val="en-GB"/>
              </w:rPr>
            </w:pPr>
            <w:r w:rsidRPr="007E1313">
              <w:rPr>
                <w:rFonts w:cs="Arial"/>
                <w:szCs w:val="20"/>
                <w:lang w:val="en-GB"/>
              </w:rPr>
              <w:t>Thái Lan (2011)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keepNext w:val="0"/>
              <w:spacing w:before="0" w:after="0"/>
              <w:ind w:right="971"/>
              <w:jc w:val="right"/>
              <w:rPr>
                <w:rFonts w:cs="Arial"/>
                <w:color w:val="000000"/>
                <w:szCs w:val="20"/>
              </w:rPr>
            </w:pPr>
            <w:r w:rsidRPr="007E1313">
              <w:rPr>
                <w:rFonts w:cs="Arial"/>
                <w:color w:val="000000"/>
                <w:szCs w:val="20"/>
              </w:rPr>
              <w:t>0,39</w:t>
            </w:r>
          </w:p>
        </w:tc>
      </w:tr>
      <w:tr w:rsidR="00A50899" w:rsidRPr="005B0B71" w:rsidTr="00A324B6">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keepNext w:val="0"/>
              <w:spacing w:before="0" w:after="0"/>
              <w:rPr>
                <w:rFonts w:cs="Arial"/>
                <w:szCs w:val="20"/>
                <w:lang w:val="en-GB"/>
              </w:rPr>
            </w:pPr>
            <w:r w:rsidRPr="007E1313">
              <w:rPr>
                <w:rFonts w:cs="Arial"/>
                <w:szCs w:val="20"/>
                <w:lang w:val="en-GB"/>
              </w:rPr>
              <w:t>Philipin (2009)</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keepNext w:val="0"/>
              <w:spacing w:before="0" w:after="0"/>
              <w:ind w:right="971"/>
              <w:jc w:val="right"/>
              <w:rPr>
                <w:rFonts w:cs="Arial"/>
                <w:color w:val="000000"/>
                <w:szCs w:val="20"/>
              </w:rPr>
            </w:pPr>
            <w:r w:rsidRPr="007E1313">
              <w:rPr>
                <w:rFonts w:cs="Arial"/>
                <w:color w:val="000000"/>
                <w:szCs w:val="20"/>
              </w:rPr>
              <w:t>0,11</w:t>
            </w:r>
          </w:p>
        </w:tc>
      </w:tr>
      <w:tr w:rsidR="00A50899" w:rsidRPr="005B0B71" w:rsidTr="00A324B6">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keepNext w:val="0"/>
              <w:spacing w:before="0" w:after="0"/>
              <w:rPr>
                <w:rFonts w:cs="Arial"/>
                <w:szCs w:val="20"/>
                <w:lang w:val="en-GB"/>
              </w:rPr>
            </w:pPr>
            <w:r>
              <w:rPr>
                <w:rFonts w:cs="Arial"/>
                <w:szCs w:val="20"/>
                <w:lang w:val="en-GB"/>
              </w:rPr>
              <w:t>Inđô</w:t>
            </w:r>
            <w:r w:rsidRPr="007E1313">
              <w:rPr>
                <w:rFonts w:cs="Arial"/>
                <w:szCs w:val="20"/>
                <w:lang w:val="en-GB"/>
              </w:rPr>
              <w:t>n</w:t>
            </w:r>
            <w:r>
              <w:rPr>
                <w:rFonts w:cs="Arial"/>
                <w:szCs w:val="20"/>
                <w:lang w:val="en-GB"/>
              </w:rPr>
              <w:t>ê</w:t>
            </w:r>
            <w:r w:rsidRPr="007E1313">
              <w:rPr>
                <w:rFonts w:cs="Arial"/>
                <w:szCs w:val="20"/>
                <w:lang w:val="en-GB"/>
              </w:rPr>
              <w:t>sia (2009)</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keepNext w:val="0"/>
              <w:spacing w:before="0" w:after="0"/>
              <w:ind w:right="971"/>
              <w:jc w:val="right"/>
              <w:rPr>
                <w:rFonts w:cs="Arial"/>
                <w:color w:val="000000"/>
                <w:szCs w:val="20"/>
              </w:rPr>
            </w:pPr>
            <w:r w:rsidRPr="007E1313">
              <w:rPr>
                <w:rFonts w:cs="Arial"/>
                <w:color w:val="000000"/>
                <w:szCs w:val="20"/>
              </w:rPr>
              <w:t>0,08</w:t>
            </w:r>
          </w:p>
        </w:tc>
      </w:tr>
    </w:tbl>
    <w:p w:rsidR="00A50899" w:rsidRDefault="00A50899" w:rsidP="00A50899">
      <w:pPr>
        <w:pStyle w:val="nguon"/>
        <w:rPr>
          <w:sz w:val="26"/>
          <w:szCs w:val="26"/>
        </w:rPr>
      </w:pPr>
      <w:r w:rsidRPr="00957D8A">
        <w:t>Nguồn: World Bank:</w:t>
      </w:r>
      <w:r>
        <w:t xml:space="preserve"> Science and Technology in ASEAN Countries (Tentative edition)- September 2015, Center for Research and Development Strategy- Japan Science and Technology Agancy (2015).</w:t>
      </w:r>
    </w:p>
    <w:p w:rsidR="00A50899" w:rsidRPr="006E43AB" w:rsidRDefault="00320ECA" w:rsidP="00A50899">
      <w:pPr>
        <w:pStyle w:val="111khcnvn"/>
      </w:pPr>
      <w:bookmarkStart w:id="45" w:name="_Toc451518370"/>
      <w:r>
        <w:t>1</w:t>
      </w:r>
      <w:r w:rsidR="00A50899" w:rsidRPr="006E43AB">
        <w:t xml:space="preserve">.3.3. Đầu tư của doanh nghiệp cho </w:t>
      </w:r>
      <w:bookmarkEnd w:id="45"/>
      <w:r w:rsidR="00A50899" w:rsidRPr="006E43AB">
        <w:t>nghiên cứu khoa học và phát triển công nghệ</w:t>
      </w:r>
    </w:p>
    <w:p w:rsidR="00A50899" w:rsidRDefault="00A50899" w:rsidP="00A50899">
      <w:pPr>
        <w:pStyle w:val="bodyA0"/>
        <w:spacing w:line="281" w:lineRule="auto"/>
        <w:rPr>
          <w:lang w:val="en-GB"/>
        </w:rPr>
      </w:pPr>
      <w:r>
        <w:t xml:space="preserve">Kết quả tổng hợp số liệu thống kê chi cho NC&amp;PT theo nguồn đầu tư tại một số quốc gia và theo Điều tra doanh nghiệp 2014 của Tổng cục Thống kê, cho thấy, đầu tư của doanh nghiệp cho </w:t>
      </w:r>
      <w:r>
        <w:lastRenderedPageBreak/>
        <w:t xml:space="preserve">NC&amp;PT năm 2013 ở </w:t>
      </w:r>
      <w:r w:rsidRPr="001F5AC1">
        <w:rPr>
          <w:spacing w:val="-4"/>
        </w:rPr>
        <w:t xml:space="preserve">Việt Nam chiếm 41,8% tổng chi quốc gia cho NC&amp;PT (GERD). Tỷ lệ này tại một số quốc gia và vùng lãnh thổ như sau: Cao nhất tại Hàn Quốc là 75,7%, Nhật Bản - 75,5%, Trung Quốc - 74,6%, Hoa Kỳ - 60,9%, </w:t>
      </w:r>
      <w:r w:rsidRPr="001F5AC1">
        <w:rPr>
          <w:spacing w:val="-4"/>
          <w:lang w:val="en-GB"/>
        </w:rPr>
        <w:t xml:space="preserve"> 28 quốc gia EU - 55%, Singapo - 52,7%, Thái Lan - 48,7%, Malaysia - 41,4%; cuối cùng tại Liên bang Nga tỷ lệ này là 28,2%</w:t>
      </w:r>
      <w:r w:rsidRPr="001F5AC1">
        <w:rPr>
          <w:spacing w:val="-4"/>
        </w:rPr>
        <w:t xml:space="preserve"> (Bảng </w:t>
      </w:r>
      <w:r w:rsidR="00320ECA">
        <w:rPr>
          <w:spacing w:val="-4"/>
          <w:lang w:val="en-US"/>
        </w:rPr>
        <w:t>1</w:t>
      </w:r>
      <w:r w:rsidRPr="001F5AC1">
        <w:rPr>
          <w:spacing w:val="-4"/>
        </w:rPr>
        <w:t xml:space="preserve">.19, Hình </w:t>
      </w:r>
      <w:r w:rsidR="00320ECA">
        <w:rPr>
          <w:spacing w:val="-4"/>
          <w:lang w:val="en-US"/>
        </w:rPr>
        <w:t>1</w:t>
      </w:r>
      <w:r w:rsidRPr="001F5AC1">
        <w:rPr>
          <w:spacing w:val="-4"/>
        </w:rPr>
        <w:t>.12).</w:t>
      </w:r>
    </w:p>
    <w:p w:rsidR="00A50899" w:rsidRDefault="00A50899" w:rsidP="00A50899">
      <w:pPr>
        <w:pStyle w:val="khcnvnTenBang"/>
        <w:spacing w:before="200"/>
        <w:rPr>
          <w:lang w:val="en-GB"/>
        </w:rPr>
      </w:pPr>
      <w:bookmarkStart w:id="46" w:name="_Toc453342475"/>
      <w:r>
        <w:rPr>
          <w:b/>
          <w:i/>
          <w:lang w:val="en-GB"/>
        </w:rPr>
        <w:t xml:space="preserve">Bảng </w:t>
      </w:r>
      <w:r w:rsidR="00320ECA">
        <w:rPr>
          <w:b/>
          <w:i/>
          <w:lang w:val="en-GB"/>
        </w:rPr>
        <w:t>1</w:t>
      </w:r>
      <w:r>
        <w:rPr>
          <w:b/>
          <w:i/>
          <w:lang w:val="en-GB"/>
        </w:rPr>
        <w:t>.19.</w:t>
      </w:r>
      <w:r>
        <w:rPr>
          <w:lang w:val="en-GB"/>
        </w:rPr>
        <w:t xml:space="preserve"> Đầu tư của doanh nghiệp cho NC&amp;PT tại một số </w:t>
      </w:r>
      <w:bookmarkEnd w:id="46"/>
      <w:r>
        <w:rPr>
          <w:lang w:val="en-GB"/>
        </w:rPr>
        <w:t>quốc gia</w:t>
      </w:r>
    </w:p>
    <w:tbl>
      <w:tblPr>
        <w:tblW w:w="49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2068"/>
        <w:gridCol w:w="2059"/>
        <w:gridCol w:w="1545"/>
        <w:gridCol w:w="1332"/>
      </w:tblGrid>
      <w:tr w:rsidR="00A50899" w:rsidRPr="001F5AC1" w:rsidTr="00A324B6">
        <w:trPr>
          <w:trHeight w:val="20"/>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66CCFF"/>
            <w:vAlign w:val="center"/>
          </w:tcPr>
          <w:p w:rsidR="00A50899" w:rsidRPr="001F5AC1" w:rsidRDefault="00A50899" w:rsidP="00A324B6">
            <w:pPr>
              <w:pStyle w:val="Bang2"/>
              <w:spacing w:before="90" w:after="90"/>
              <w:jc w:val="center"/>
              <w:rPr>
                <w:rFonts w:cs="Arial"/>
                <w:b/>
                <w:szCs w:val="20"/>
                <w:lang w:val="en-GB"/>
              </w:rPr>
            </w:pPr>
            <w:r w:rsidRPr="001F5AC1">
              <w:rPr>
                <w:rFonts w:cs="Arial"/>
                <w:b/>
                <w:szCs w:val="20"/>
                <w:lang w:val="en-GB"/>
              </w:rPr>
              <w:t>Quốc gia</w:t>
            </w:r>
          </w:p>
        </w:tc>
        <w:tc>
          <w:tcPr>
            <w:tcW w:w="1124" w:type="pct"/>
            <w:tcBorders>
              <w:top w:val="single" w:sz="4" w:space="0" w:color="000000"/>
              <w:left w:val="single" w:sz="4" w:space="0" w:color="000000"/>
              <w:bottom w:val="single" w:sz="4" w:space="0" w:color="000000"/>
              <w:right w:val="single" w:sz="4" w:space="0" w:color="000000"/>
            </w:tcBorders>
            <w:shd w:val="clear" w:color="auto" w:fill="66CCFF"/>
            <w:vAlign w:val="center"/>
          </w:tcPr>
          <w:p w:rsidR="00A50899" w:rsidRPr="001F5AC1" w:rsidRDefault="00A50899" w:rsidP="00A324B6">
            <w:pPr>
              <w:pStyle w:val="Bang2"/>
              <w:spacing w:before="90" w:after="90"/>
              <w:jc w:val="center"/>
              <w:rPr>
                <w:rFonts w:cs="Arial"/>
                <w:b/>
                <w:szCs w:val="20"/>
                <w:lang w:val="en-GB"/>
              </w:rPr>
            </w:pPr>
            <w:r w:rsidRPr="001F5AC1">
              <w:rPr>
                <w:rFonts w:cs="Arial"/>
                <w:b/>
                <w:szCs w:val="20"/>
                <w:lang w:val="en-GB"/>
              </w:rPr>
              <w:t>Tổng đầu tư cho NC&amp;PT (triệu USD PPP)</w:t>
            </w:r>
          </w:p>
        </w:tc>
        <w:tc>
          <w:tcPr>
            <w:tcW w:w="1119" w:type="pct"/>
            <w:tcBorders>
              <w:top w:val="single" w:sz="4" w:space="0" w:color="000000"/>
              <w:left w:val="single" w:sz="4" w:space="0" w:color="000000"/>
              <w:bottom w:val="single" w:sz="4" w:space="0" w:color="000000"/>
              <w:right w:val="single" w:sz="4" w:space="0" w:color="000000"/>
            </w:tcBorders>
            <w:shd w:val="clear" w:color="auto" w:fill="66CCFF"/>
            <w:vAlign w:val="center"/>
          </w:tcPr>
          <w:p w:rsidR="00A50899" w:rsidRPr="001F5AC1" w:rsidRDefault="00A50899" w:rsidP="00A324B6">
            <w:pPr>
              <w:pStyle w:val="Bang2"/>
              <w:spacing w:before="90" w:after="90"/>
              <w:jc w:val="center"/>
              <w:rPr>
                <w:rFonts w:cs="Arial"/>
                <w:b/>
                <w:szCs w:val="20"/>
                <w:lang w:val="en-GB"/>
              </w:rPr>
            </w:pPr>
            <w:r w:rsidRPr="001F5AC1">
              <w:rPr>
                <w:rFonts w:cs="Arial"/>
                <w:b/>
                <w:szCs w:val="20"/>
                <w:lang w:val="en-GB"/>
              </w:rPr>
              <w:t>Đầu tư của doanh nghiệp cho NC&amp;PT (triệu USD PPP)</w:t>
            </w:r>
          </w:p>
        </w:tc>
        <w:tc>
          <w:tcPr>
            <w:tcW w:w="840" w:type="pct"/>
            <w:tcBorders>
              <w:top w:val="single" w:sz="4" w:space="0" w:color="000000"/>
              <w:left w:val="single" w:sz="4" w:space="0" w:color="000000"/>
              <w:bottom w:val="single" w:sz="4" w:space="0" w:color="000000"/>
              <w:right w:val="single" w:sz="4" w:space="0" w:color="000000"/>
            </w:tcBorders>
            <w:shd w:val="clear" w:color="auto" w:fill="66CCFF"/>
            <w:vAlign w:val="center"/>
          </w:tcPr>
          <w:p w:rsidR="00A50899" w:rsidRPr="001F5AC1" w:rsidRDefault="00A50899" w:rsidP="00A324B6">
            <w:pPr>
              <w:pStyle w:val="Bang2"/>
              <w:spacing w:before="90" w:after="90"/>
              <w:jc w:val="center"/>
              <w:rPr>
                <w:rFonts w:cs="Arial"/>
                <w:b/>
                <w:szCs w:val="20"/>
                <w:lang w:val="en-GB"/>
              </w:rPr>
            </w:pPr>
            <w:r w:rsidRPr="001F5AC1">
              <w:rPr>
                <w:rFonts w:cs="Arial"/>
                <w:b/>
                <w:szCs w:val="20"/>
                <w:lang w:val="en-GB"/>
              </w:rPr>
              <w:t>Tỷ lệ đầu tư của doanh nghiệp</w:t>
            </w:r>
          </w:p>
        </w:tc>
        <w:tc>
          <w:tcPr>
            <w:tcW w:w="724" w:type="pct"/>
            <w:tcBorders>
              <w:top w:val="single" w:sz="4" w:space="0" w:color="000000"/>
              <w:left w:val="single" w:sz="4" w:space="0" w:color="000000"/>
              <w:bottom w:val="single" w:sz="4" w:space="0" w:color="000000"/>
              <w:right w:val="single" w:sz="4" w:space="0" w:color="000000"/>
            </w:tcBorders>
            <w:shd w:val="clear" w:color="auto" w:fill="66CCFF"/>
            <w:vAlign w:val="center"/>
          </w:tcPr>
          <w:p w:rsidR="00A50899" w:rsidRPr="001F5AC1" w:rsidRDefault="00A50899" w:rsidP="00A324B6">
            <w:pPr>
              <w:pStyle w:val="Bang2"/>
              <w:spacing w:before="90" w:after="90"/>
              <w:jc w:val="center"/>
              <w:rPr>
                <w:rFonts w:cs="Arial"/>
                <w:b/>
                <w:szCs w:val="20"/>
                <w:lang w:val="en-GB"/>
              </w:rPr>
            </w:pPr>
            <w:r w:rsidRPr="001F5AC1">
              <w:rPr>
                <w:rFonts w:cs="Arial"/>
                <w:b/>
                <w:szCs w:val="20"/>
                <w:lang w:val="en-GB"/>
              </w:rPr>
              <w:t>Số liệu năm</w:t>
            </w:r>
          </w:p>
        </w:tc>
      </w:tr>
      <w:tr w:rsidR="00A50899" w:rsidRPr="005B0B71" w:rsidTr="00A324B6">
        <w:trPr>
          <w:trHeight w:val="20"/>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rPr>
                <w:rFonts w:cs="Arial"/>
                <w:szCs w:val="20"/>
                <w:lang w:val="en-GB"/>
              </w:rPr>
            </w:pPr>
            <w:r w:rsidRPr="007E1313">
              <w:rPr>
                <w:rFonts w:cs="Arial"/>
                <w:szCs w:val="20"/>
                <w:lang w:val="en-GB"/>
              </w:rPr>
              <w:t xml:space="preserve">28 quốc gia EU </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359.810,4</w:t>
            </w:r>
          </w:p>
        </w:tc>
        <w:tc>
          <w:tcPr>
            <w:tcW w:w="11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197.895,7</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55,0</w:t>
            </w:r>
          </w:p>
        </w:tc>
        <w:tc>
          <w:tcPr>
            <w:tcW w:w="724"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ind w:right="227"/>
              <w:jc w:val="right"/>
              <w:rPr>
                <w:rFonts w:cs="Arial"/>
                <w:szCs w:val="20"/>
                <w:lang w:val="en-GB"/>
              </w:rPr>
            </w:pPr>
            <w:r w:rsidRPr="007E1313">
              <w:rPr>
                <w:rFonts w:cs="Arial"/>
                <w:szCs w:val="20"/>
                <w:lang w:val="en-GB"/>
              </w:rPr>
              <w:t>2013</w:t>
            </w:r>
          </w:p>
        </w:tc>
      </w:tr>
      <w:tr w:rsidR="00A50899" w:rsidRPr="005B0B71" w:rsidTr="00A324B6">
        <w:trPr>
          <w:trHeight w:val="20"/>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rPr>
                <w:rFonts w:cs="Arial"/>
                <w:szCs w:val="20"/>
                <w:lang w:val="en-GB"/>
              </w:rPr>
            </w:pPr>
            <w:r w:rsidRPr="007E1313">
              <w:rPr>
                <w:rFonts w:cs="Arial"/>
                <w:szCs w:val="20"/>
                <w:lang w:val="en-GB"/>
              </w:rPr>
              <w:t>Hoa Kỳ</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456.977,0</w:t>
            </w:r>
          </w:p>
        </w:tc>
        <w:tc>
          <w:tcPr>
            <w:tcW w:w="11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278.091,0</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60,9</w:t>
            </w:r>
          </w:p>
        </w:tc>
        <w:tc>
          <w:tcPr>
            <w:tcW w:w="724"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ind w:right="227"/>
              <w:jc w:val="right"/>
              <w:rPr>
                <w:rFonts w:cs="Arial"/>
                <w:szCs w:val="20"/>
                <w:lang w:val="en-GB"/>
              </w:rPr>
            </w:pPr>
            <w:r w:rsidRPr="007E1313">
              <w:rPr>
                <w:rFonts w:cs="Arial"/>
                <w:szCs w:val="20"/>
                <w:lang w:val="en-GB"/>
              </w:rPr>
              <w:t>2013</w:t>
            </w:r>
          </w:p>
        </w:tc>
      </w:tr>
      <w:tr w:rsidR="00A50899" w:rsidRPr="005B0B71" w:rsidTr="00A324B6">
        <w:trPr>
          <w:trHeight w:val="20"/>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rPr>
                <w:rFonts w:cs="Arial"/>
                <w:szCs w:val="20"/>
                <w:lang w:val="en-GB"/>
              </w:rPr>
            </w:pPr>
            <w:r w:rsidRPr="007E1313">
              <w:rPr>
                <w:rFonts w:cs="Arial"/>
                <w:szCs w:val="20"/>
                <w:lang w:val="en-GB"/>
              </w:rPr>
              <w:t>Liên bang Nga</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36.614,4</w:t>
            </w:r>
          </w:p>
        </w:tc>
        <w:tc>
          <w:tcPr>
            <w:tcW w:w="11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10.310,2</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28,2</w:t>
            </w:r>
          </w:p>
        </w:tc>
        <w:tc>
          <w:tcPr>
            <w:tcW w:w="724"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ind w:right="227"/>
              <w:jc w:val="right"/>
              <w:rPr>
                <w:rFonts w:cs="Arial"/>
                <w:szCs w:val="20"/>
                <w:lang w:val="en-GB"/>
              </w:rPr>
            </w:pPr>
            <w:r w:rsidRPr="007E1313">
              <w:rPr>
                <w:rFonts w:cs="Arial"/>
                <w:szCs w:val="20"/>
                <w:lang w:val="en-GB"/>
              </w:rPr>
              <w:t>2013</w:t>
            </w:r>
          </w:p>
        </w:tc>
      </w:tr>
      <w:tr w:rsidR="00A50899" w:rsidRPr="005B0B71" w:rsidTr="00A324B6">
        <w:trPr>
          <w:trHeight w:val="20"/>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rPr>
                <w:rFonts w:cs="Arial"/>
                <w:szCs w:val="20"/>
                <w:lang w:val="en-GB"/>
              </w:rPr>
            </w:pPr>
            <w:r w:rsidRPr="007E1313">
              <w:rPr>
                <w:rFonts w:cs="Arial"/>
                <w:szCs w:val="20"/>
                <w:lang w:val="en-GB"/>
              </w:rPr>
              <w:t>Trung Quốc</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333.521,6</w:t>
            </w:r>
          </w:p>
        </w:tc>
        <w:tc>
          <w:tcPr>
            <w:tcW w:w="11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248.811,6</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74,6</w:t>
            </w:r>
          </w:p>
        </w:tc>
        <w:tc>
          <w:tcPr>
            <w:tcW w:w="724"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ind w:right="227"/>
              <w:jc w:val="right"/>
              <w:rPr>
                <w:rFonts w:cs="Arial"/>
                <w:szCs w:val="20"/>
                <w:lang w:val="en-GB"/>
              </w:rPr>
            </w:pPr>
            <w:r w:rsidRPr="007E1313">
              <w:rPr>
                <w:rFonts w:cs="Arial"/>
                <w:szCs w:val="20"/>
                <w:lang w:val="en-GB"/>
              </w:rPr>
              <w:t>2013</w:t>
            </w:r>
          </w:p>
        </w:tc>
      </w:tr>
      <w:tr w:rsidR="00A50899" w:rsidRPr="005B0B71" w:rsidTr="00A324B6">
        <w:trPr>
          <w:trHeight w:val="20"/>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rPr>
                <w:rFonts w:cs="Arial"/>
                <w:szCs w:val="20"/>
                <w:lang w:val="en-GB"/>
              </w:rPr>
            </w:pPr>
            <w:r w:rsidRPr="007E1313">
              <w:rPr>
                <w:rFonts w:cs="Arial"/>
                <w:szCs w:val="20"/>
                <w:lang w:val="en-GB"/>
              </w:rPr>
              <w:t>Nhật Bản</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162.347,2</w:t>
            </w:r>
          </w:p>
        </w:tc>
        <w:tc>
          <w:tcPr>
            <w:tcW w:w="11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122.538,4</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75,5</w:t>
            </w:r>
          </w:p>
        </w:tc>
        <w:tc>
          <w:tcPr>
            <w:tcW w:w="724"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ind w:right="227"/>
              <w:jc w:val="right"/>
              <w:rPr>
                <w:rFonts w:cs="Arial"/>
                <w:szCs w:val="20"/>
                <w:lang w:val="en-GB"/>
              </w:rPr>
            </w:pPr>
            <w:r w:rsidRPr="007E1313">
              <w:rPr>
                <w:rFonts w:cs="Arial"/>
                <w:szCs w:val="20"/>
                <w:lang w:val="en-GB"/>
              </w:rPr>
              <w:t>2013</w:t>
            </w:r>
          </w:p>
        </w:tc>
      </w:tr>
      <w:tr w:rsidR="00A50899" w:rsidRPr="005B0B71" w:rsidTr="00A324B6">
        <w:trPr>
          <w:trHeight w:val="20"/>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rPr>
                <w:rFonts w:cs="Arial"/>
                <w:szCs w:val="20"/>
                <w:lang w:val="en-GB"/>
              </w:rPr>
            </w:pPr>
            <w:r w:rsidRPr="007E1313">
              <w:rPr>
                <w:rFonts w:cs="Arial"/>
                <w:szCs w:val="20"/>
                <w:lang w:val="en-GB"/>
              </w:rPr>
              <w:t>Hàn Quốc</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68.051,5</w:t>
            </w:r>
          </w:p>
        </w:tc>
        <w:tc>
          <w:tcPr>
            <w:tcW w:w="11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51.501,6</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75,7</w:t>
            </w:r>
          </w:p>
        </w:tc>
        <w:tc>
          <w:tcPr>
            <w:tcW w:w="724"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ind w:right="227"/>
              <w:jc w:val="right"/>
              <w:rPr>
                <w:rFonts w:cs="Arial"/>
                <w:szCs w:val="20"/>
                <w:lang w:val="en-GB"/>
              </w:rPr>
            </w:pPr>
            <w:r w:rsidRPr="007E1313">
              <w:rPr>
                <w:rFonts w:cs="Arial"/>
                <w:szCs w:val="20"/>
                <w:lang w:val="en-GB"/>
              </w:rPr>
              <w:t>2013</w:t>
            </w:r>
          </w:p>
        </w:tc>
      </w:tr>
      <w:tr w:rsidR="00A50899" w:rsidRPr="005B0B71" w:rsidTr="00A324B6">
        <w:trPr>
          <w:trHeight w:val="20"/>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rPr>
                <w:rFonts w:cs="Arial"/>
                <w:szCs w:val="20"/>
                <w:lang w:val="en-GB"/>
              </w:rPr>
            </w:pPr>
            <w:r>
              <w:rPr>
                <w:rFonts w:cs="Arial"/>
                <w:szCs w:val="20"/>
                <w:lang w:val="en-GB"/>
              </w:rPr>
              <w:t>Singapo</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8.686,4</w:t>
            </w:r>
          </w:p>
        </w:tc>
        <w:tc>
          <w:tcPr>
            <w:tcW w:w="11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4.575,1</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52,7</w:t>
            </w:r>
          </w:p>
        </w:tc>
        <w:tc>
          <w:tcPr>
            <w:tcW w:w="724"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ind w:right="227"/>
              <w:jc w:val="right"/>
              <w:rPr>
                <w:rFonts w:cs="Arial"/>
                <w:szCs w:val="20"/>
                <w:lang w:val="en-GB"/>
              </w:rPr>
            </w:pPr>
            <w:r w:rsidRPr="007E1313">
              <w:rPr>
                <w:rFonts w:cs="Arial"/>
                <w:szCs w:val="20"/>
                <w:lang w:val="en-GB"/>
              </w:rPr>
              <w:t>2013</w:t>
            </w:r>
          </w:p>
        </w:tc>
      </w:tr>
      <w:tr w:rsidR="00A50899" w:rsidRPr="005B0B71" w:rsidTr="00A324B6">
        <w:trPr>
          <w:trHeight w:val="20"/>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rPr>
                <w:rFonts w:cs="Arial"/>
                <w:szCs w:val="20"/>
                <w:lang w:val="en-GB"/>
              </w:rPr>
            </w:pPr>
            <w:r w:rsidRPr="007E1313">
              <w:rPr>
                <w:rFonts w:cs="Arial"/>
                <w:szCs w:val="20"/>
                <w:lang w:val="en-GB"/>
              </w:rPr>
              <w:t>Malaysia</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6.872,6</w:t>
            </w:r>
          </w:p>
        </w:tc>
        <w:tc>
          <w:tcPr>
            <w:tcW w:w="11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2.845,3</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41,4</w:t>
            </w:r>
          </w:p>
        </w:tc>
        <w:tc>
          <w:tcPr>
            <w:tcW w:w="724"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ind w:right="227"/>
              <w:jc w:val="right"/>
              <w:rPr>
                <w:rFonts w:cs="Arial"/>
                <w:szCs w:val="20"/>
                <w:lang w:val="en-GB"/>
              </w:rPr>
            </w:pPr>
            <w:r w:rsidRPr="007E1313">
              <w:rPr>
                <w:rFonts w:cs="Arial"/>
                <w:szCs w:val="20"/>
                <w:lang w:val="en-GB"/>
              </w:rPr>
              <w:t>2011</w:t>
            </w:r>
          </w:p>
        </w:tc>
      </w:tr>
      <w:tr w:rsidR="00A50899" w:rsidRPr="005B0B71" w:rsidTr="00A324B6">
        <w:trPr>
          <w:trHeight w:val="20"/>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rPr>
                <w:rFonts w:cs="Arial"/>
                <w:szCs w:val="20"/>
                <w:lang w:val="en-GB"/>
              </w:rPr>
            </w:pPr>
            <w:r w:rsidRPr="007E1313">
              <w:rPr>
                <w:rFonts w:cs="Arial"/>
                <w:szCs w:val="20"/>
                <w:lang w:val="en-GB"/>
              </w:rPr>
              <w:t>Việt Nam</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1.757,3</w:t>
            </w:r>
          </w:p>
        </w:tc>
        <w:tc>
          <w:tcPr>
            <w:tcW w:w="11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734,6</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41,8</w:t>
            </w:r>
          </w:p>
        </w:tc>
        <w:tc>
          <w:tcPr>
            <w:tcW w:w="724"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ind w:right="227"/>
              <w:jc w:val="right"/>
              <w:rPr>
                <w:rFonts w:cs="Arial"/>
                <w:szCs w:val="20"/>
                <w:lang w:val="en-GB"/>
              </w:rPr>
            </w:pPr>
            <w:r w:rsidRPr="007E1313">
              <w:rPr>
                <w:rFonts w:cs="Arial"/>
                <w:szCs w:val="20"/>
                <w:lang w:val="en-GB"/>
              </w:rPr>
              <w:t>2013</w:t>
            </w:r>
          </w:p>
        </w:tc>
      </w:tr>
      <w:tr w:rsidR="00A50899" w:rsidRPr="005B0B71" w:rsidTr="00A324B6">
        <w:trPr>
          <w:trHeight w:val="20"/>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rPr>
                <w:rFonts w:cs="Arial"/>
                <w:szCs w:val="20"/>
                <w:lang w:val="en-GB"/>
              </w:rPr>
            </w:pPr>
            <w:r w:rsidRPr="007E1313">
              <w:rPr>
                <w:rFonts w:cs="Arial"/>
                <w:szCs w:val="20"/>
                <w:lang w:val="en-GB"/>
              </w:rPr>
              <w:t>Thái Lan</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3.380,0</w:t>
            </w:r>
          </w:p>
        </w:tc>
        <w:tc>
          <w:tcPr>
            <w:tcW w:w="11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1.735,0</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A50899" w:rsidRPr="007E1313" w:rsidRDefault="00A50899" w:rsidP="00A324B6">
            <w:pPr>
              <w:pStyle w:val="Bang2"/>
              <w:spacing w:before="100" w:after="90"/>
              <w:ind w:right="233"/>
              <w:jc w:val="right"/>
              <w:rPr>
                <w:rFonts w:cs="Arial"/>
                <w:color w:val="000000"/>
                <w:szCs w:val="20"/>
              </w:rPr>
            </w:pPr>
            <w:r w:rsidRPr="007E1313">
              <w:rPr>
                <w:rFonts w:cs="Arial"/>
                <w:color w:val="000000"/>
                <w:szCs w:val="20"/>
              </w:rPr>
              <w:t>48,7</w:t>
            </w:r>
          </w:p>
        </w:tc>
        <w:tc>
          <w:tcPr>
            <w:tcW w:w="724" w:type="pct"/>
            <w:tcBorders>
              <w:top w:val="single" w:sz="4" w:space="0" w:color="000000"/>
              <w:left w:val="single" w:sz="4" w:space="0" w:color="000000"/>
              <w:bottom w:val="single" w:sz="4" w:space="0" w:color="000000"/>
              <w:right w:val="single" w:sz="4" w:space="0" w:color="000000"/>
            </w:tcBorders>
            <w:shd w:val="clear" w:color="auto" w:fill="auto"/>
          </w:tcPr>
          <w:p w:rsidR="00A50899" w:rsidRPr="007E1313" w:rsidRDefault="00A50899" w:rsidP="00A324B6">
            <w:pPr>
              <w:pStyle w:val="Bang2"/>
              <w:spacing w:before="100" w:after="90"/>
              <w:ind w:right="227"/>
              <w:jc w:val="right"/>
              <w:rPr>
                <w:rFonts w:cs="Arial"/>
                <w:szCs w:val="20"/>
                <w:lang w:val="en-GB"/>
              </w:rPr>
            </w:pPr>
            <w:r w:rsidRPr="007E1313">
              <w:rPr>
                <w:rFonts w:cs="Arial"/>
                <w:szCs w:val="20"/>
                <w:lang w:val="en-GB"/>
              </w:rPr>
              <w:t>2011</w:t>
            </w:r>
          </w:p>
        </w:tc>
      </w:tr>
    </w:tbl>
    <w:p w:rsidR="00320ECA" w:rsidRDefault="00A50899" w:rsidP="00A50899">
      <w:pPr>
        <w:pStyle w:val="nguon"/>
        <w:spacing w:line="269" w:lineRule="auto"/>
        <w:rPr>
          <w:lang w:val="en-US"/>
        </w:rPr>
      </w:pPr>
      <w:r w:rsidRPr="00757326">
        <w:t xml:space="preserve">Nguồn: </w:t>
      </w:r>
      <w:r>
        <w:t>OECD.stat (</w:t>
      </w:r>
      <w:hyperlink r:id="rId22" w:history="1">
        <w:r w:rsidRPr="00041ED2">
          <w:rPr>
            <w:rStyle w:val="Hyperlink"/>
            <w:color w:val="000000"/>
            <w:u w:val="none"/>
          </w:rPr>
          <w:t>http://stats.oecd.org</w:t>
        </w:r>
      </w:hyperlink>
      <w:r w:rsidRPr="00041ED2">
        <w:rPr>
          <w:color w:val="000000"/>
          <w:lang w:val="en-US"/>
        </w:rPr>
        <w:t>)</w:t>
      </w:r>
    </w:p>
    <w:p w:rsidR="00A50899" w:rsidRPr="00041ED2" w:rsidRDefault="00A50899" w:rsidP="00A50899">
      <w:pPr>
        <w:pStyle w:val="nguon"/>
        <w:spacing w:line="269" w:lineRule="auto"/>
        <w:rPr>
          <w:lang w:val="en-US"/>
        </w:rPr>
      </w:pPr>
      <w:r>
        <w:t xml:space="preserve"> WORLDBANK </w:t>
      </w:r>
      <w:r w:rsidRPr="00A5591F">
        <w:rPr>
          <w:color w:val="000000"/>
        </w:rPr>
        <w:t>(</w:t>
      </w:r>
      <w:hyperlink r:id="rId23" w:history="1">
        <w:r w:rsidRPr="00A5591F">
          <w:rPr>
            <w:rStyle w:val="Hyperlink"/>
            <w:color w:val="000000"/>
            <w:u w:val="none"/>
          </w:rPr>
          <w:t>http://data.worldbank.org</w:t>
        </w:r>
      </w:hyperlink>
      <w:r>
        <w:t xml:space="preserve">); Center for Research and Development Strategy- Japan Science and Technology Agancy (2015); EUROSTAT: </w:t>
      </w:r>
      <w:r>
        <w:rPr>
          <w:lang w:val="en-US"/>
        </w:rPr>
        <w:t>(</w:t>
      </w:r>
      <w:hyperlink r:id="rId24" w:history="1">
        <w:r w:rsidRPr="00041ED2">
          <w:rPr>
            <w:rStyle w:val="Hyperlink"/>
            <w:color w:val="000000"/>
            <w:u w:val="none"/>
          </w:rPr>
          <w:t>http://ec.europa.eu</w:t>
        </w:r>
      </w:hyperlink>
      <w:r>
        <w:rPr>
          <w:color w:val="000000"/>
          <w:lang w:val="en-US"/>
        </w:rPr>
        <w:t>)</w:t>
      </w:r>
    </w:p>
    <w:p w:rsidR="00A50899" w:rsidRPr="00842D77" w:rsidRDefault="00A50899" w:rsidP="00A50899">
      <w:pPr>
        <w:ind w:hanging="238"/>
        <w:jc w:val="center"/>
        <w:rPr>
          <w:lang w:val="en-GB"/>
        </w:rPr>
      </w:pPr>
      <w:r w:rsidRPr="00842D77">
        <w:rPr>
          <w:noProof/>
        </w:rPr>
        <w:drawing>
          <wp:inline distT="0" distB="0" distL="0" distR="0" wp14:anchorId="75AD4F5A" wp14:editId="14CA293B">
            <wp:extent cx="4795520" cy="26371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t="5641"/>
                    <a:stretch>
                      <a:fillRect/>
                    </a:stretch>
                  </pic:blipFill>
                  <pic:spPr bwMode="auto">
                    <a:xfrm>
                      <a:off x="0" y="0"/>
                      <a:ext cx="4795520" cy="2637155"/>
                    </a:xfrm>
                    <a:prstGeom prst="rect">
                      <a:avLst/>
                    </a:prstGeom>
                    <a:noFill/>
                    <a:ln>
                      <a:noFill/>
                    </a:ln>
                  </pic:spPr>
                </pic:pic>
              </a:graphicData>
            </a:graphic>
          </wp:inline>
        </w:drawing>
      </w:r>
    </w:p>
    <w:p w:rsidR="00320ECA" w:rsidRDefault="00A50899" w:rsidP="00A50899">
      <w:pPr>
        <w:pStyle w:val="khcnvntenhinh"/>
        <w:spacing w:before="0"/>
        <w:rPr>
          <w:lang w:val="en-GB"/>
        </w:rPr>
      </w:pPr>
      <w:bookmarkStart w:id="47" w:name="_Toc453341476"/>
      <w:r>
        <w:rPr>
          <w:b/>
          <w:i/>
          <w:lang w:val="en-GB"/>
        </w:rPr>
        <w:t xml:space="preserve">Hình </w:t>
      </w:r>
      <w:r w:rsidR="00320ECA">
        <w:rPr>
          <w:b/>
          <w:i/>
          <w:lang w:val="en-GB"/>
        </w:rPr>
        <w:t>1</w:t>
      </w:r>
      <w:r>
        <w:rPr>
          <w:b/>
          <w:i/>
          <w:lang w:val="en-GB"/>
        </w:rPr>
        <w:t>.12.</w:t>
      </w:r>
      <w:r>
        <w:rPr>
          <w:lang w:val="en-GB"/>
        </w:rPr>
        <w:t xml:space="preserve"> Doanh nghiệp đầu tư cho NC&amp;PT tại một số quốc gia năm 2013 </w:t>
      </w:r>
    </w:p>
    <w:p w:rsidR="00A50899" w:rsidRDefault="00A50899" w:rsidP="00A50899">
      <w:pPr>
        <w:pStyle w:val="khcnvntenhinh"/>
        <w:spacing w:before="0"/>
        <w:rPr>
          <w:lang w:val="vi-VN"/>
        </w:rPr>
      </w:pPr>
      <w:r>
        <w:rPr>
          <w:lang w:val="en-GB"/>
        </w:rPr>
        <w:t>(Tỷ lệ % so với GERD)</w:t>
      </w:r>
      <w:bookmarkEnd w:id="47"/>
    </w:p>
    <w:p w:rsidR="00A50899" w:rsidRDefault="00A50899" w:rsidP="00A50899">
      <w:pPr>
        <w:pStyle w:val="Stylenguon01LeftBefore5ptAfter0ptLinespacing"/>
        <w:spacing w:before="180"/>
        <w:jc w:val="right"/>
      </w:pPr>
      <w:r>
        <w:lastRenderedPageBreak/>
        <w:t>- (*): Số liệu của Malaysia và Thái Lan tại thời điểm 2011.</w:t>
      </w:r>
    </w:p>
    <w:p w:rsidR="00A50899" w:rsidRPr="00757326" w:rsidRDefault="00A50899" w:rsidP="00A50899">
      <w:pPr>
        <w:pStyle w:val="nguon"/>
      </w:pPr>
      <w:r>
        <w:t>Nguồn: OECD sta</w:t>
      </w:r>
      <w:r w:rsidRPr="00454A79">
        <w:t>t</w:t>
      </w:r>
      <w:r>
        <w:t>.</w:t>
      </w:r>
    </w:p>
    <w:p w:rsidR="00A50899" w:rsidRPr="00454A79" w:rsidRDefault="00320ECA" w:rsidP="00A50899">
      <w:pPr>
        <w:pStyle w:val="111khcnvn"/>
        <w:spacing w:before="280"/>
        <w:rPr>
          <w:lang w:val="vi-VN"/>
        </w:rPr>
      </w:pPr>
      <w:bookmarkStart w:id="48" w:name="_Toc451518371"/>
      <w:r>
        <w:rPr>
          <w:rFonts w:asciiTheme="minorHAnsi" w:hAnsiTheme="minorHAnsi"/>
        </w:rPr>
        <w:t>1</w:t>
      </w:r>
      <w:r w:rsidR="00A50899" w:rsidRPr="00454A79">
        <w:rPr>
          <w:lang w:val="vi-VN"/>
        </w:rPr>
        <w:t xml:space="preserve">.3.4. </w:t>
      </w:r>
      <w:r w:rsidR="00A50899" w:rsidRPr="006E43AB">
        <w:t xml:space="preserve">Tổng chi quốc gia cho </w:t>
      </w:r>
      <w:bookmarkEnd w:id="48"/>
      <w:r w:rsidR="00A50899" w:rsidRPr="006E43AB">
        <w:t>nghiên cứu khoa học và phát triển công nghệ</w:t>
      </w:r>
    </w:p>
    <w:p w:rsidR="00A50899" w:rsidRPr="00C16FDF" w:rsidRDefault="00A50899" w:rsidP="00A50899">
      <w:pPr>
        <w:pStyle w:val="bodyA0"/>
        <w:spacing w:line="300" w:lineRule="auto"/>
        <w:rPr>
          <w:spacing w:val="-6"/>
          <w:lang w:val="vi-VN"/>
        </w:rPr>
      </w:pPr>
      <w:r w:rsidRPr="00C16FDF">
        <w:rPr>
          <w:spacing w:val="-6"/>
          <w:lang w:val="vi-VN"/>
        </w:rPr>
        <w:t>Theo số liệu của Ngân hàng Thế giới</w:t>
      </w:r>
      <w:r w:rsidRPr="00D57316">
        <w:rPr>
          <w:spacing w:val="-6"/>
          <w:vertAlign w:val="superscript"/>
        </w:rPr>
        <w:t>(</w:t>
      </w:r>
      <w:r w:rsidRPr="00D57316">
        <w:rPr>
          <w:rStyle w:val="FootnoteReference"/>
          <w:spacing w:val="-6"/>
          <w:lang w:val="vi-VN"/>
        </w:rPr>
        <w:footnoteReference w:id="6"/>
      </w:r>
      <w:r w:rsidRPr="00D57316">
        <w:rPr>
          <w:spacing w:val="-6"/>
          <w:vertAlign w:val="superscript"/>
        </w:rPr>
        <w:t>)</w:t>
      </w:r>
      <w:r w:rsidRPr="00C16FDF">
        <w:rPr>
          <w:spacing w:val="-6"/>
          <w:lang w:val="vi-VN"/>
        </w:rPr>
        <w:t xml:space="preserve">, </w:t>
      </w:r>
      <w:r w:rsidRPr="00C16FDF">
        <w:rPr>
          <w:spacing w:val="-6"/>
        </w:rPr>
        <w:t>GDP của Việt Nam 2013</w:t>
      </w:r>
      <w:r w:rsidRPr="00C16FDF">
        <w:rPr>
          <w:spacing w:val="-6"/>
          <w:lang w:val="vi-VN"/>
        </w:rPr>
        <w:t xml:space="preserve"> là 474.951,1 triệu USD PPP</w:t>
      </w:r>
      <w:r>
        <w:rPr>
          <w:spacing w:val="-6"/>
        </w:rPr>
        <w:t xml:space="preserve"> (đô la Mỹ chuyển đổi theo sức mua tương đương)</w:t>
      </w:r>
      <w:r w:rsidRPr="00C16FDF">
        <w:rPr>
          <w:spacing w:val="-6"/>
          <w:lang w:val="vi-VN"/>
        </w:rPr>
        <w:t xml:space="preserve">. </w:t>
      </w:r>
      <w:r w:rsidRPr="00454A79">
        <w:rPr>
          <w:spacing w:val="-6"/>
          <w:lang w:val="vi-VN"/>
        </w:rPr>
        <w:t>Từ kết quả Điều tra NC&amp;PT năm 2014</w:t>
      </w:r>
      <w:r w:rsidRPr="00C16FDF">
        <w:rPr>
          <w:spacing w:val="-6"/>
          <w:lang w:val="vi-VN"/>
        </w:rPr>
        <w:t xml:space="preserve">, tổng chi quốc gia cho NC&amp;PT đạt 0,37%, tương đương </w:t>
      </w:r>
      <w:r w:rsidRPr="00454A79">
        <w:rPr>
          <w:spacing w:val="-6"/>
          <w:lang w:val="vi-VN"/>
        </w:rPr>
        <w:t>1.757,3 triệu USD PPP</w:t>
      </w:r>
      <w:r w:rsidRPr="00C16FDF">
        <w:rPr>
          <w:spacing w:val="-6"/>
          <w:lang w:val="vi-VN"/>
        </w:rPr>
        <w:t>. T</w:t>
      </w:r>
      <w:r w:rsidRPr="00454A79">
        <w:rPr>
          <w:spacing w:val="-6"/>
          <w:lang w:val="vi-VN"/>
        </w:rPr>
        <w:t xml:space="preserve">ổng số cán bộ nghiên cứu là </w:t>
      </w:r>
      <w:r w:rsidRPr="00C16FDF">
        <w:rPr>
          <w:spacing w:val="-6"/>
          <w:lang w:val="vi-VN"/>
        </w:rPr>
        <w:t>128</w:t>
      </w:r>
      <w:r w:rsidRPr="00454A79">
        <w:rPr>
          <w:spacing w:val="-6"/>
          <w:lang w:val="vi-VN"/>
        </w:rPr>
        <w:t>.</w:t>
      </w:r>
      <w:r w:rsidRPr="00C16FDF">
        <w:rPr>
          <w:spacing w:val="-6"/>
          <w:lang w:val="vi-VN"/>
        </w:rPr>
        <w:t>997</w:t>
      </w:r>
      <w:r w:rsidRPr="00454A79">
        <w:rPr>
          <w:spacing w:val="-6"/>
          <w:lang w:val="vi-VN"/>
        </w:rPr>
        <w:t xml:space="preserve"> người</w:t>
      </w:r>
      <w:r w:rsidRPr="00C16FDF">
        <w:rPr>
          <w:spacing w:val="-6"/>
          <w:lang w:val="vi-VN"/>
        </w:rPr>
        <w:t xml:space="preserve"> (Bảng </w:t>
      </w:r>
      <w:r w:rsidR="00320ECA">
        <w:rPr>
          <w:spacing w:val="-6"/>
          <w:lang w:val="en-US"/>
        </w:rPr>
        <w:t>1</w:t>
      </w:r>
      <w:r w:rsidRPr="00C16FDF">
        <w:rPr>
          <w:spacing w:val="-6"/>
          <w:lang w:val="vi-VN"/>
        </w:rPr>
        <w:t>.</w:t>
      </w:r>
      <w:r w:rsidRPr="00454A79">
        <w:rPr>
          <w:spacing w:val="-6"/>
          <w:lang w:val="vi-VN"/>
        </w:rPr>
        <w:t>20</w:t>
      </w:r>
      <w:r w:rsidRPr="00C16FDF">
        <w:rPr>
          <w:spacing w:val="-6"/>
          <w:lang w:val="vi-VN"/>
        </w:rPr>
        <w:t>)</w:t>
      </w:r>
      <w:r w:rsidRPr="00454A79">
        <w:rPr>
          <w:spacing w:val="-6"/>
          <w:lang w:val="vi-VN"/>
        </w:rPr>
        <w:t>. Như vậy, năm 2013</w:t>
      </w:r>
      <w:r w:rsidRPr="00C16FDF">
        <w:rPr>
          <w:spacing w:val="-6"/>
          <w:lang w:val="vi-VN"/>
        </w:rPr>
        <w:t>, bình quân chi quốc gia cho</w:t>
      </w:r>
      <w:r w:rsidRPr="00454A79">
        <w:rPr>
          <w:spacing w:val="-6"/>
          <w:lang w:val="vi-VN"/>
        </w:rPr>
        <w:t xml:space="preserve"> mỗi cán bộ nghiên cứu </w:t>
      </w:r>
      <w:r w:rsidRPr="00C16FDF">
        <w:rPr>
          <w:spacing w:val="-6"/>
          <w:lang w:val="vi-VN"/>
        </w:rPr>
        <w:t>là</w:t>
      </w:r>
      <w:r w:rsidRPr="00454A79">
        <w:rPr>
          <w:spacing w:val="-6"/>
          <w:lang w:val="vi-VN"/>
        </w:rPr>
        <w:t xml:space="preserve"> </w:t>
      </w:r>
      <w:r w:rsidRPr="00C16FDF">
        <w:rPr>
          <w:spacing w:val="-6"/>
          <w:lang w:val="vi-VN"/>
        </w:rPr>
        <w:t>1</w:t>
      </w:r>
      <w:r w:rsidRPr="00454A79">
        <w:rPr>
          <w:spacing w:val="-6"/>
          <w:lang w:val="vi-VN"/>
        </w:rPr>
        <w:t>3.</w:t>
      </w:r>
      <w:r w:rsidRPr="00C16FDF">
        <w:rPr>
          <w:spacing w:val="-6"/>
          <w:lang w:val="vi-VN"/>
        </w:rPr>
        <w:t>623</w:t>
      </w:r>
      <w:r w:rsidRPr="00454A79">
        <w:rPr>
          <w:spacing w:val="-6"/>
          <w:lang w:val="vi-VN"/>
        </w:rPr>
        <w:t xml:space="preserve"> USD PPP</w:t>
      </w:r>
      <w:r w:rsidRPr="00C16FDF">
        <w:rPr>
          <w:spacing w:val="-6"/>
          <w:lang w:val="vi-VN"/>
        </w:rPr>
        <w:t>. Số kinh phí này bố trí cho cán bộ nghiên cứu</w:t>
      </w:r>
      <w:r w:rsidRPr="00454A79">
        <w:rPr>
          <w:spacing w:val="-6"/>
          <w:lang w:val="vi-VN"/>
        </w:rPr>
        <w:t xml:space="preserve"> để tổ chức triển khai hoạt động </w:t>
      </w:r>
      <w:r w:rsidRPr="00C16FDF">
        <w:rPr>
          <w:spacing w:val="-6"/>
          <w:lang w:val="vi-VN"/>
        </w:rPr>
        <w:t>NC&amp;PT, tức là để bố trí mua sắm, thuê trang thiết bị máy móc, trả chi phí duy trì cơ sở vật chất, mua nguyên nhiên vật liệu cần thiết, trả công lao động khoa học cho chính mình và thuê cán bộ kỹ thuật, nhân viên hỗ trợ và nhân lực khác liên qua</w:t>
      </w:r>
      <w:r>
        <w:rPr>
          <w:spacing w:val="-6"/>
          <w:lang w:val="vi-VN"/>
        </w:rPr>
        <w:t>n để thực hiện hoạt động NC&amp;PT.</w:t>
      </w:r>
    </w:p>
    <w:p w:rsidR="00A50899" w:rsidRDefault="00A50899" w:rsidP="00A50899">
      <w:pPr>
        <w:pStyle w:val="khcnvnTenBang"/>
        <w:keepNext w:val="0"/>
      </w:pPr>
      <w:bookmarkStart w:id="49" w:name="_Toc453342476"/>
      <w:r w:rsidRPr="00454A79">
        <w:rPr>
          <w:b/>
          <w:i/>
          <w:lang w:val="vi-VN"/>
        </w:rPr>
        <w:t xml:space="preserve">Bảng </w:t>
      </w:r>
      <w:r w:rsidR="00320ECA">
        <w:rPr>
          <w:b/>
          <w:i/>
        </w:rPr>
        <w:t>1</w:t>
      </w:r>
      <w:r w:rsidRPr="00454A79">
        <w:rPr>
          <w:b/>
          <w:i/>
          <w:lang w:val="vi-VN"/>
        </w:rPr>
        <w:t xml:space="preserve">.20. </w:t>
      </w:r>
      <w:r>
        <w:rPr>
          <w:lang w:val="vi-VN"/>
        </w:rPr>
        <w:t>Bình quân chi quốc gia</w:t>
      </w:r>
      <w:r w:rsidRPr="00454A79">
        <w:rPr>
          <w:lang w:val="vi-VN"/>
        </w:rPr>
        <w:t xml:space="preserve"> cho NC&amp;PT theo cán bộ nghiên cứu</w:t>
      </w:r>
      <w:bookmarkEnd w:id="49"/>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1370"/>
        <w:gridCol w:w="1357"/>
        <w:gridCol w:w="1359"/>
        <w:gridCol w:w="1359"/>
        <w:gridCol w:w="1359"/>
      </w:tblGrid>
      <w:tr w:rsidR="00A50899" w:rsidTr="00A324B6">
        <w:trPr>
          <w:trHeight w:val="469"/>
        </w:trPr>
        <w:tc>
          <w:tcPr>
            <w:tcW w:w="1285" w:type="pct"/>
            <w:vMerge w:val="restart"/>
            <w:tcBorders>
              <w:top w:val="single" w:sz="4" w:space="0" w:color="auto"/>
              <w:left w:val="single" w:sz="4" w:space="0" w:color="auto"/>
              <w:bottom w:val="single" w:sz="4" w:space="0" w:color="auto"/>
              <w:right w:val="single" w:sz="4" w:space="0" w:color="auto"/>
            </w:tcBorders>
            <w:shd w:val="clear" w:color="auto" w:fill="66CCFF"/>
            <w:noWrap/>
            <w:vAlign w:val="center"/>
          </w:tcPr>
          <w:p w:rsidR="00320ECA" w:rsidRDefault="00A50899" w:rsidP="00A324B6">
            <w:pPr>
              <w:pStyle w:val="Bang2"/>
              <w:spacing w:before="40" w:after="40"/>
              <w:jc w:val="center"/>
              <w:rPr>
                <w:b/>
                <w:sz w:val="18"/>
                <w:szCs w:val="18"/>
              </w:rPr>
            </w:pPr>
            <w:r w:rsidRPr="00D57316">
              <w:rPr>
                <w:b/>
                <w:sz w:val="18"/>
                <w:szCs w:val="18"/>
                <w:lang w:val="vi-VN"/>
              </w:rPr>
              <w:t xml:space="preserve">Cán bộ </w:t>
            </w:r>
          </w:p>
          <w:p w:rsidR="00A50899" w:rsidRPr="00D57316" w:rsidRDefault="00A50899" w:rsidP="00A324B6">
            <w:pPr>
              <w:pStyle w:val="Bang2"/>
              <w:spacing w:before="40" w:after="40"/>
              <w:jc w:val="center"/>
              <w:rPr>
                <w:rFonts w:ascii="Times New Roman" w:hAnsi="Times New Roman"/>
                <w:b/>
                <w:sz w:val="18"/>
                <w:szCs w:val="18"/>
                <w:lang w:val="vi-VN"/>
              </w:rPr>
            </w:pPr>
            <w:r w:rsidRPr="00D57316">
              <w:rPr>
                <w:b/>
                <w:sz w:val="18"/>
                <w:szCs w:val="18"/>
                <w:lang w:val="vi-VN"/>
              </w:rPr>
              <w:t>nghiên cứu</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D57316" w:rsidRDefault="00A50899" w:rsidP="00A324B6">
            <w:pPr>
              <w:pStyle w:val="Bang2"/>
              <w:spacing w:before="40" w:after="40"/>
              <w:jc w:val="center"/>
              <w:rPr>
                <w:rFonts w:ascii="Times New Roman" w:hAnsi="Times New Roman"/>
                <w:b/>
                <w:sz w:val="18"/>
                <w:szCs w:val="18"/>
                <w:lang w:val="vi-VN"/>
              </w:rPr>
            </w:pPr>
            <w:r w:rsidRPr="00D57316">
              <w:rPr>
                <w:b/>
                <w:sz w:val="18"/>
                <w:szCs w:val="18"/>
                <w:lang w:val="vi-VN"/>
              </w:rPr>
              <w:t>Số lượng</w:t>
            </w:r>
          </w:p>
        </w:tc>
        <w:tc>
          <w:tcPr>
            <w:tcW w:w="1482" w:type="pct"/>
            <w:gridSpan w:val="2"/>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D57316" w:rsidRDefault="00A50899" w:rsidP="00A324B6">
            <w:pPr>
              <w:pStyle w:val="Bang2"/>
              <w:spacing w:before="40" w:after="40"/>
              <w:jc w:val="center"/>
              <w:rPr>
                <w:b/>
                <w:sz w:val="18"/>
                <w:szCs w:val="18"/>
              </w:rPr>
            </w:pPr>
            <w:r w:rsidRPr="00D57316">
              <w:rPr>
                <w:b/>
                <w:sz w:val="18"/>
                <w:szCs w:val="18"/>
              </w:rPr>
              <w:t xml:space="preserve">Tổng </w:t>
            </w:r>
            <w:r w:rsidRPr="00D57316">
              <w:rPr>
                <w:b/>
                <w:sz w:val="18"/>
                <w:szCs w:val="18"/>
                <w:lang w:val="vi-VN"/>
              </w:rPr>
              <w:t>chi QG</w:t>
            </w:r>
            <w:r w:rsidRPr="00D57316">
              <w:rPr>
                <w:b/>
                <w:sz w:val="18"/>
                <w:szCs w:val="18"/>
              </w:rPr>
              <w:t xml:space="preserve"> cho </w:t>
            </w:r>
            <w:r w:rsidRPr="00D57316">
              <w:rPr>
                <w:b/>
                <w:sz w:val="18"/>
                <w:szCs w:val="18"/>
                <w:lang w:val="vi-VN"/>
              </w:rPr>
              <w:t>NC&amp;PT</w:t>
            </w:r>
          </w:p>
        </w:tc>
        <w:tc>
          <w:tcPr>
            <w:tcW w:w="1484" w:type="pct"/>
            <w:gridSpan w:val="2"/>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D57316" w:rsidRDefault="00A50899" w:rsidP="00A324B6">
            <w:pPr>
              <w:pStyle w:val="Bang2"/>
              <w:spacing w:before="40" w:after="40"/>
              <w:jc w:val="center"/>
              <w:rPr>
                <w:rFonts w:ascii="Times New Roman" w:hAnsi="Times New Roman"/>
                <w:b/>
                <w:sz w:val="18"/>
                <w:szCs w:val="18"/>
              </w:rPr>
            </w:pPr>
            <w:r w:rsidRPr="00D57316">
              <w:rPr>
                <w:b/>
                <w:sz w:val="18"/>
                <w:szCs w:val="18"/>
              </w:rPr>
              <w:t>Bình quân theo CBNC</w:t>
            </w:r>
          </w:p>
        </w:tc>
      </w:tr>
      <w:tr w:rsidR="00A50899" w:rsidTr="00A324B6">
        <w:trPr>
          <w:trHeight w:val="276"/>
        </w:trPr>
        <w:tc>
          <w:tcPr>
            <w:tcW w:w="1838" w:type="dxa"/>
            <w:vMerge/>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D57316" w:rsidRDefault="00A50899" w:rsidP="00A324B6">
            <w:pPr>
              <w:spacing w:before="40" w:after="40"/>
              <w:jc w:val="center"/>
              <w:rPr>
                <w:b/>
                <w:bCs/>
                <w:iCs/>
                <w:sz w:val="18"/>
                <w:szCs w:val="18"/>
                <w:lang w:val="vi-VN"/>
              </w:rPr>
            </w:pPr>
          </w:p>
        </w:tc>
        <w:tc>
          <w:tcPr>
            <w:tcW w:w="1070" w:type="dxa"/>
            <w:vMerge/>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D57316" w:rsidRDefault="00A50899" w:rsidP="00A324B6">
            <w:pPr>
              <w:spacing w:before="40" w:after="40"/>
              <w:jc w:val="center"/>
              <w:rPr>
                <w:b/>
                <w:bCs/>
                <w:iCs/>
                <w:sz w:val="18"/>
                <w:szCs w:val="18"/>
                <w:lang w:val="vi-VN"/>
              </w:rPr>
            </w:pPr>
          </w:p>
        </w:tc>
        <w:tc>
          <w:tcPr>
            <w:tcW w:w="741" w:type="pct"/>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D57316" w:rsidRDefault="00A50899" w:rsidP="00A324B6">
            <w:pPr>
              <w:pStyle w:val="Bang2"/>
              <w:spacing w:before="40" w:after="40"/>
              <w:jc w:val="center"/>
              <w:rPr>
                <w:b/>
                <w:sz w:val="18"/>
                <w:szCs w:val="18"/>
              </w:rPr>
            </w:pPr>
            <w:r w:rsidRPr="00D57316">
              <w:rPr>
                <w:b/>
                <w:sz w:val="18"/>
                <w:szCs w:val="18"/>
              </w:rPr>
              <w:t>Tỷ đồng</w:t>
            </w:r>
          </w:p>
        </w:tc>
        <w:tc>
          <w:tcPr>
            <w:tcW w:w="742" w:type="pct"/>
            <w:tcBorders>
              <w:top w:val="single" w:sz="4" w:space="0" w:color="auto"/>
              <w:left w:val="single" w:sz="4" w:space="0" w:color="auto"/>
              <w:bottom w:val="single" w:sz="4" w:space="0" w:color="auto"/>
              <w:right w:val="single" w:sz="4" w:space="0" w:color="auto"/>
            </w:tcBorders>
            <w:shd w:val="clear" w:color="auto" w:fill="66CCFF"/>
            <w:vAlign w:val="center"/>
          </w:tcPr>
          <w:p w:rsidR="00A50899" w:rsidRPr="00D57316" w:rsidRDefault="00A50899" w:rsidP="00A324B6">
            <w:pPr>
              <w:pStyle w:val="Bang2"/>
              <w:spacing w:before="40" w:after="40"/>
              <w:jc w:val="center"/>
              <w:rPr>
                <w:b/>
                <w:sz w:val="18"/>
                <w:szCs w:val="18"/>
              </w:rPr>
            </w:pPr>
            <w:r w:rsidRPr="00D57316">
              <w:rPr>
                <w:b/>
                <w:sz w:val="18"/>
                <w:szCs w:val="18"/>
              </w:rPr>
              <w:t>Triệu USD PPP</w:t>
            </w:r>
          </w:p>
        </w:tc>
        <w:tc>
          <w:tcPr>
            <w:tcW w:w="742" w:type="pct"/>
            <w:tcBorders>
              <w:top w:val="single" w:sz="4" w:space="0" w:color="auto"/>
              <w:left w:val="single" w:sz="4" w:space="0" w:color="auto"/>
              <w:bottom w:val="single" w:sz="4" w:space="0" w:color="auto"/>
              <w:right w:val="single" w:sz="4" w:space="0" w:color="auto"/>
            </w:tcBorders>
            <w:shd w:val="clear" w:color="auto" w:fill="66CCFF"/>
            <w:noWrap/>
            <w:vAlign w:val="center"/>
          </w:tcPr>
          <w:p w:rsidR="00A50899" w:rsidRPr="00D57316" w:rsidRDefault="00A50899" w:rsidP="00A324B6">
            <w:pPr>
              <w:pStyle w:val="Bang2"/>
              <w:spacing w:before="40" w:after="40"/>
              <w:jc w:val="center"/>
              <w:rPr>
                <w:b/>
                <w:sz w:val="18"/>
                <w:szCs w:val="18"/>
              </w:rPr>
            </w:pPr>
            <w:r w:rsidRPr="00D57316">
              <w:rPr>
                <w:b/>
                <w:sz w:val="18"/>
                <w:szCs w:val="18"/>
              </w:rPr>
              <w:t>Triệu đồng</w:t>
            </w:r>
          </w:p>
        </w:tc>
        <w:tc>
          <w:tcPr>
            <w:tcW w:w="742" w:type="pct"/>
            <w:tcBorders>
              <w:top w:val="single" w:sz="4" w:space="0" w:color="auto"/>
              <w:left w:val="single" w:sz="4" w:space="0" w:color="auto"/>
              <w:bottom w:val="single" w:sz="4" w:space="0" w:color="auto"/>
              <w:right w:val="single" w:sz="4" w:space="0" w:color="auto"/>
            </w:tcBorders>
            <w:shd w:val="clear" w:color="auto" w:fill="66CCFF"/>
            <w:noWrap/>
            <w:vAlign w:val="center"/>
          </w:tcPr>
          <w:p w:rsidR="00A50899" w:rsidRPr="00D57316" w:rsidRDefault="00A50899" w:rsidP="00A324B6">
            <w:pPr>
              <w:pStyle w:val="Bang2"/>
              <w:spacing w:before="40" w:after="40"/>
              <w:jc w:val="center"/>
              <w:rPr>
                <w:b/>
                <w:sz w:val="18"/>
                <w:szCs w:val="18"/>
                <w:lang w:val="vi-VN"/>
              </w:rPr>
            </w:pPr>
            <w:r w:rsidRPr="00D57316">
              <w:rPr>
                <w:b/>
                <w:sz w:val="18"/>
                <w:szCs w:val="18"/>
              </w:rPr>
              <w:t>USD PPP</w:t>
            </w:r>
          </w:p>
        </w:tc>
      </w:tr>
      <w:tr w:rsidR="00A50899" w:rsidTr="00A324B6">
        <w:trPr>
          <w:trHeight w:val="276"/>
        </w:trPr>
        <w:tc>
          <w:tcPr>
            <w:tcW w:w="1285" w:type="pct"/>
            <w:tcBorders>
              <w:top w:val="single" w:sz="4" w:space="0" w:color="auto"/>
              <w:left w:val="single" w:sz="4" w:space="0" w:color="auto"/>
              <w:bottom w:val="single" w:sz="4" w:space="0" w:color="auto"/>
              <w:right w:val="single" w:sz="4" w:space="0" w:color="auto"/>
            </w:tcBorders>
            <w:noWrap/>
            <w:vAlign w:val="bottom"/>
          </w:tcPr>
          <w:p w:rsidR="00A50899" w:rsidRPr="00D57316" w:rsidRDefault="00A50899" w:rsidP="00A324B6">
            <w:pPr>
              <w:pStyle w:val="Bang2"/>
              <w:spacing w:before="40" w:after="40"/>
              <w:jc w:val="both"/>
              <w:rPr>
                <w:rFonts w:ascii="Times New Roman" w:hAnsi="Times New Roman"/>
                <w:sz w:val="18"/>
                <w:szCs w:val="18"/>
                <w:lang w:val="vi-VN"/>
              </w:rPr>
            </w:pPr>
            <w:r w:rsidRPr="00D57316">
              <w:rPr>
                <w:sz w:val="18"/>
                <w:szCs w:val="18"/>
                <w:lang w:val="vi-VN"/>
              </w:rPr>
              <w:t>Cán bộ nghiên cứu (người)</w:t>
            </w:r>
          </w:p>
        </w:tc>
        <w:tc>
          <w:tcPr>
            <w:tcW w:w="748" w:type="pct"/>
            <w:tcBorders>
              <w:top w:val="single" w:sz="4" w:space="0" w:color="auto"/>
              <w:left w:val="single" w:sz="4" w:space="0" w:color="auto"/>
              <w:bottom w:val="single" w:sz="4" w:space="0" w:color="auto"/>
              <w:right w:val="single" w:sz="4" w:space="0" w:color="auto"/>
            </w:tcBorders>
            <w:noWrap/>
            <w:vAlign w:val="center"/>
          </w:tcPr>
          <w:p w:rsidR="00A50899" w:rsidRPr="00D57316" w:rsidRDefault="00A50899" w:rsidP="00A324B6">
            <w:pPr>
              <w:pStyle w:val="Bang2"/>
              <w:spacing w:before="40" w:after="40"/>
              <w:ind w:right="57"/>
              <w:jc w:val="right"/>
              <w:rPr>
                <w:rFonts w:ascii="Times New Roman" w:hAnsi="Times New Roman"/>
                <w:sz w:val="18"/>
                <w:szCs w:val="18"/>
              </w:rPr>
            </w:pPr>
            <w:r w:rsidRPr="00D57316">
              <w:rPr>
                <w:sz w:val="18"/>
                <w:szCs w:val="18"/>
                <w:lang w:val="vi-VN"/>
              </w:rPr>
              <w:t>128</w:t>
            </w:r>
            <w:r w:rsidRPr="00D57316">
              <w:rPr>
                <w:sz w:val="18"/>
                <w:szCs w:val="18"/>
              </w:rPr>
              <w:t>.</w:t>
            </w:r>
            <w:r w:rsidRPr="00D57316">
              <w:rPr>
                <w:sz w:val="18"/>
                <w:szCs w:val="18"/>
                <w:lang w:val="vi-VN"/>
              </w:rPr>
              <w:t>997</w:t>
            </w:r>
          </w:p>
        </w:tc>
        <w:tc>
          <w:tcPr>
            <w:tcW w:w="741" w:type="pct"/>
            <w:tcBorders>
              <w:top w:val="single" w:sz="4" w:space="0" w:color="auto"/>
              <w:left w:val="single" w:sz="4" w:space="0" w:color="auto"/>
              <w:bottom w:val="single" w:sz="4" w:space="0" w:color="auto"/>
              <w:right w:val="single" w:sz="4" w:space="0" w:color="auto"/>
            </w:tcBorders>
            <w:vAlign w:val="center"/>
          </w:tcPr>
          <w:p w:rsidR="00A50899" w:rsidRPr="00D57316" w:rsidRDefault="00A50899" w:rsidP="00A324B6">
            <w:pPr>
              <w:pStyle w:val="Bang2"/>
              <w:spacing w:before="40" w:after="40"/>
              <w:ind w:right="57"/>
              <w:jc w:val="right"/>
              <w:rPr>
                <w:sz w:val="18"/>
                <w:szCs w:val="18"/>
              </w:rPr>
            </w:pPr>
            <w:r w:rsidRPr="00D57316">
              <w:rPr>
                <w:sz w:val="18"/>
                <w:szCs w:val="18"/>
              </w:rPr>
              <w:t>13.390,6</w:t>
            </w:r>
          </w:p>
        </w:tc>
        <w:tc>
          <w:tcPr>
            <w:tcW w:w="742" w:type="pct"/>
            <w:tcBorders>
              <w:top w:val="single" w:sz="4" w:space="0" w:color="auto"/>
              <w:left w:val="single" w:sz="4" w:space="0" w:color="auto"/>
              <w:bottom w:val="single" w:sz="4" w:space="0" w:color="auto"/>
              <w:right w:val="single" w:sz="4" w:space="0" w:color="auto"/>
            </w:tcBorders>
            <w:vAlign w:val="center"/>
          </w:tcPr>
          <w:p w:rsidR="00A50899" w:rsidRPr="00D57316" w:rsidRDefault="00A50899" w:rsidP="00A324B6">
            <w:pPr>
              <w:pStyle w:val="Bang2"/>
              <w:spacing w:before="40" w:after="40"/>
              <w:ind w:right="57"/>
              <w:jc w:val="right"/>
              <w:rPr>
                <w:sz w:val="18"/>
                <w:szCs w:val="18"/>
              </w:rPr>
            </w:pPr>
            <w:r w:rsidRPr="00D57316">
              <w:rPr>
                <w:sz w:val="18"/>
                <w:szCs w:val="18"/>
              </w:rPr>
              <w:t>1.757,3</w:t>
            </w:r>
          </w:p>
        </w:tc>
        <w:tc>
          <w:tcPr>
            <w:tcW w:w="742" w:type="pct"/>
            <w:tcBorders>
              <w:top w:val="single" w:sz="4" w:space="0" w:color="auto"/>
              <w:left w:val="single" w:sz="4" w:space="0" w:color="auto"/>
              <w:bottom w:val="single" w:sz="4" w:space="0" w:color="auto"/>
              <w:right w:val="single" w:sz="4" w:space="0" w:color="auto"/>
            </w:tcBorders>
            <w:noWrap/>
            <w:vAlign w:val="center"/>
          </w:tcPr>
          <w:p w:rsidR="00A50899" w:rsidRPr="00D57316" w:rsidRDefault="00A50899" w:rsidP="00A324B6">
            <w:pPr>
              <w:pStyle w:val="Bang2"/>
              <w:spacing w:before="40" w:after="40"/>
              <w:ind w:right="57"/>
              <w:jc w:val="right"/>
              <w:rPr>
                <w:rFonts w:ascii="Times New Roman" w:hAnsi="Times New Roman"/>
                <w:sz w:val="18"/>
                <w:szCs w:val="18"/>
              </w:rPr>
            </w:pPr>
            <w:r w:rsidRPr="00D57316">
              <w:rPr>
                <w:sz w:val="18"/>
                <w:szCs w:val="18"/>
              </w:rPr>
              <w:t>103,8</w:t>
            </w:r>
          </w:p>
        </w:tc>
        <w:tc>
          <w:tcPr>
            <w:tcW w:w="742" w:type="pct"/>
            <w:tcBorders>
              <w:top w:val="single" w:sz="4" w:space="0" w:color="auto"/>
              <w:left w:val="single" w:sz="4" w:space="0" w:color="auto"/>
              <w:bottom w:val="single" w:sz="4" w:space="0" w:color="auto"/>
              <w:right w:val="single" w:sz="4" w:space="0" w:color="auto"/>
            </w:tcBorders>
            <w:noWrap/>
            <w:vAlign w:val="center"/>
          </w:tcPr>
          <w:p w:rsidR="00A50899" w:rsidRPr="00D57316" w:rsidRDefault="00A50899" w:rsidP="00A324B6">
            <w:pPr>
              <w:pStyle w:val="Bang2"/>
              <w:spacing w:before="40" w:after="40"/>
              <w:ind w:right="57"/>
              <w:jc w:val="right"/>
              <w:rPr>
                <w:rFonts w:ascii="Times New Roman" w:hAnsi="Times New Roman"/>
                <w:sz w:val="18"/>
                <w:szCs w:val="18"/>
                <w:lang w:val="vi-VN"/>
              </w:rPr>
            </w:pPr>
            <w:r w:rsidRPr="00D57316">
              <w:rPr>
                <w:sz w:val="18"/>
                <w:szCs w:val="18"/>
                <w:lang w:val="vi-VN"/>
              </w:rPr>
              <w:t>13.623</w:t>
            </w:r>
          </w:p>
        </w:tc>
      </w:tr>
      <w:tr w:rsidR="00A50899" w:rsidTr="00A324B6">
        <w:trPr>
          <w:trHeight w:val="276"/>
        </w:trPr>
        <w:tc>
          <w:tcPr>
            <w:tcW w:w="1285" w:type="pct"/>
            <w:tcBorders>
              <w:top w:val="single" w:sz="4" w:space="0" w:color="auto"/>
              <w:left w:val="single" w:sz="4" w:space="0" w:color="auto"/>
              <w:bottom w:val="single" w:sz="4" w:space="0" w:color="auto"/>
              <w:right w:val="single" w:sz="4" w:space="0" w:color="auto"/>
            </w:tcBorders>
            <w:noWrap/>
            <w:vAlign w:val="bottom"/>
          </w:tcPr>
          <w:p w:rsidR="00A50899" w:rsidRPr="00D57316" w:rsidRDefault="00A50899" w:rsidP="00A324B6">
            <w:pPr>
              <w:pStyle w:val="Bang2"/>
              <w:spacing w:before="40" w:after="40"/>
              <w:jc w:val="both"/>
              <w:rPr>
                <w:rFonts w:ascii="Times New Roman" w:hAnsi="Times New Roman"/>
                <w:sz w:val="18"/>
                <w:szCs w:val="18"/>
                <w:lang w:val="vi-VN"/>
              </w:rPr>
            </w:pPr>
            <w:r w:rsidRPr="00D57316">
              <w:rPr>
                <w:sz w:val="18"/>
                <w:szCs w:val="18"/>
                <w:lang w:val="vi-VN"/>
              </w:rPr>
              <w:t>Cán bộ nghiên cứu FTE</w:t>
            </w:r>
          </w:p>
        </w:tc>
        <w:tc>
          <w:tcPr>
            <w:tcW w:w="748" w:type="pct"/>
            <w:tcBorders>
              <w:top w:val="single" w:sz="4" w:space="0" w:color="auto"/>
              <w:left w:val="single" w:sz="4" w:space="0" w:color="auto"/>
              <w:bottom w:val="single" w:sz="4" w:space="0" w:color="auto"/>
              <w:right w:val="single" w:sz="4" w:space="0" w:color="auto"/>
            </w:tcBorders>
            <w:noWrap/>
            <w:vAlign w:val="center"/>
          </w:tcPr>
          <w:p w:rsidR="00A50899" w:rsidRPr="00D57316" w:rsidRDefault="00A50899" w:rsidP="00A324B6">
            <w:pPr>
              <w:pStyle w:val="Bang2"/>
              <w:spacing w:before="40" w:after="40"/>
              <w:ind w:right="57"/>
              <w:jc w:val="right"/>
              <w:rPr>
                <w:rFonts w:ascii="Times New Roman" w:hAnsi="Times New Roman"/>
                <w:sz w:val="18"/>
                <w:szCs w:val="18"/>
                <w:lang w:val="vi-VN"/>
              </w:rPr>
            </w:pPr>
            <w:r w:rsidRPr="00D57316">
              <w:rPr>
                <w:sz w:val="18"/>
                <w:szCs w:val="18"/>
                <w:lang w:val="vi-VN"/>
              </w:rPr>
              <w:t>61.663</w:t>
            </w:r>
          </w:p>
        </w:tc>
        <w:tc>
          <w:tcPr>
            <w:tcW w:w="741" w:type="pct"/>
            <w:tcBorders>
              <w:top w:val="single" w:sz="4" w:space="0" w:color="auto"/>
              <w:left w:val="single" w:sz="4" w:space="0" w:color="auto"/>
              <w:bottom w:val="single" w:sz="4" w:space="0" w:color="auto"/>
              <w:right w:val="single" w:sz="4" w:space="0" w:color="auto"/>
            </w:tcBorders>
            <w:vAlign w:val="center"/>
          </w:tcPr>
          <w:p w:rsidR="00A50899" w:rsidRPr="00D57316" w:rsidRDefault="00A50899" w:rsidP="00A324B6">
            <w:pPr>
              <w:pStyle w:val="Bang2"/>
              <w:spacing w:before="40" w:after="40"/>
              <w:ind w:right="57"/>
              <w:jc w:val="right"/>
              <w:rPr>
                <w:sz w:val="18"/>
                <w:szCs w:val="18"/>
              </w:rPr>
            </w:pPr>
            <w:r w:rsidRPr="00D57316">
              <w:rPr>
                <w:sz w:val="18"/>
                <w:szCs w:val="18"/>
              </w:rPr>
              <w:t>13.390,6</w:t>
            </w:r>
          </w:p>
        </w:tc>
        <w:tc>
          <w:tcPr>
            <w:tcW w:w="742" w:type="pct"/>
            <w:tcBorders>
              <w:top w:val="single" w:sz="4" w:space="0" w:color="auto"/>
              <w:left w:val="single" w:sz="4" w:space="0" w:color="auto"/>
              <w:bottom w:val="single" w:sz="4" w:space="0" w:color="auto"/>
              <w:right w:val="single" w:sz="4" w:space="0" w:color="auto"/>
            </w:tcBorders>
            <w:vAlign w:val="center"/>
          </w:tcPr>
          <w:p w:rsidR="00A50899" w:rsidRPr="00D57316" w:rsidRDefault="00A50899" w:rsidP="00A324B6">
            <w:pPr>
              <w:pStyle w:val="Bang2"/>
              <w:spacing w:before="40" w:after="40"/>
              <w:ind w:right="57"/>
              <w:jc w:val="right"/>
              <w:rPr>
                <w:sz w:val="18"/>
                <w:szCs w:val="18"/>
              </w:rPr>
            </w:pPr>
            <w:r w:rsidRPr="00D57316">
              <w:rPr>
                <w:sz w:val="18"/>
                <w:szCs w:val="18"/>
              </w:rPr>
              <w:t>1.757,3</w:t>
            </w:r>
          </w:p>
        </w:tc>
        <w:tc>
          <w:tcPr>
            <w:tcW w:w="742" w:type="pct"/>
            <w:tcBorders>
              <w:top w:val="single" w:sz="4" w:space="0" w:color="auto"/>
              <w:left w:val="single" w:sz="4" w:space="0" w:color="auto"/>
              <w:bottom w:val="single" w:sz="4" w:space="0" w:color="auto"/>
              <w:right w:val="single" w:sz="4" w:space="0" w:color="auto"/>
            </w:tcBorders>
            <w:noWrap/>
            <w:vAlign w:val="center"/>
          </w:tcPr>
          <w:p w:rsidR="00A50899" w:rsidRPr="00D57316" w:rsidRDefault="00A50899" w:rsidP="00A324B6">
            <w:pPr>
              <w:pStyle w:val="Bang2"/>
              <w:spacing w:before="40" w:after="40"/>
              <w:ind w:right="57"/>
              <w:jc w:val="right"/>
              <w:rPr>
                <w:rFonts w:ascii="Times New Roman" w:hAnsi="Times New Roman"/>
                <w:sz w:val="18"/>
                <w:szCs w:val="18"/>
                <w:lang w:val="vi-VN"/>
              </w:rPr>
            </w:pPr>
            <w:r w:rsidRPr="00D57316">
              <w:rPr>
                <w:sz w:val="18"/>
                <w:szCs w:val="18"/>
              </w:rPr>
              <w:t>217,2</w:t>
            </w:r>
          </w:p>
        </w:tc>
        <w:tc>
          <w:tcPr>
            <w:tcW w:w="742" w:type="pct"/>
            <w:tcBorders>
              <w:top w:val="single" w:sz="4" w:space="0" w:color="auto"/>
              <w:left w:val="single" w:sz="4" w:space="0" w:color="auto"/>
              <w:bottom w:val="single" w:sz="4" w:space="0" w:color="auto"/>
              <w:right w:val="single" w:sz="4" w:space="0" w:color="auto"/>
            </w:tcBorders>
            <w:noWrap/>
            <w:vAlign w:val="center"/>
          </w:tcPr>
          <w:p w:rsidR="00A50899" w:rsidRPr="00D57316" w:rsidRDefault="00A50899" w:rsidP="00A324B6">
            <w:pPr>
              <w:pStyle w:val="Bang2"/>
              <w:spacing w:before="40" w:after="40"/>
              <w:ind w:right="57"/>
              <w:jc w:val="right"/>
              <w:rPr>
                <w:rFonts w:ascii="Times New Roman" w:hAnsi="Times New Roman"/>
                <w:sz w:val="18"/>
                <w:szCs w:val="18"/>
                <w:lang w:val="vi-VN"/>
              </w:rPr>
            </w:pPr>
            <w:r w:rsidRPr="00D57316">
              <w:rPr>
                <w:sz w:val="18"/>
                <w:szCs w:val="18"/>
                <w:lang w:val="vi-VN"/>
              </w:rPr>
              <w:t>28</w:t>
            </w:r>
            <w:r w:rsidRPr="00D57316">
              <w:rPr>
                <w:sz w:val="18"/>
                <w:szCs w:val="18"/>
              </w:rPr>
              <w:t>.</w:t>
            </w:r>
            <w:r w:rsidRPr="00D57316">
              <w:rPr>
                <w:sz w:val="18"/>
                <w:szCs w:val="18"/>
                <w:lang w:val="vi-VN"/>
              </w:rPr>
              <w:t>498</w:t>
            </w:r>
          </w:p>
        </w:tc>
      </w:tr>
    </w:tbl>
    <w:p w:rsidR="00A50899" w:rsidRDefault="00A50899" w:rsidP="00A50899">
      <w:pPr>
        <w:pStyle w:val="nguon"/>
      </w:pPr>
      <w:r>
        <w:t xml:space="preserve">Nguồn: World Bank: </w:t>
      </w:r>
      <w:hyperlink r:id="rId26" w:history="1">
        <w:r w:rsidRPr="00757326">
          <w:rPr>
            <w:rStyle w:val="Hyperlink"/>
            <w:color w:val="auto"/>
            <w:u w:val="none"/>
          </w:rPr>
          <w:t>http://data.worldbank.org/indicator/GB.XPD.RSDV.GD.ZS</w:t>
        </w:r>
      </w:hyperlink>
      <w:r w:rsidRPr="00757326">
        <w:t xml:space="preserve">; </w:t>
      </w:r>
      <w:r>
        <w:t>kết quả Điều tra NC&amp;PT năm 2014 - Bộ K</w:t>
      </w:r>
      <w:r>
        <w:rPr>
          <w:lang w:val="en-US"/>
        </w:rPr>
        <w:t>hoa học và Công nghệ</w:t>
      </w:r>
      <w:r>
        <w:t>.</w:t>
      </w:r>
    </w:p>
    <w:p w:rsidR="00A50899" w:rsidRPr="00454A79" w:rsidRDefault="00A50899" w:rsidP="00A50899">
      <w:pPr>
        <w:pStyle w:val="bodyA0"/>
        <w:spacing w:before="200"/>
        <w:rPr>
          <w:lang w:val="vi-VN"/>
        </w:rPr>
      </w:pPr>
      <w:r w:rsidRPr="00454A79">
        <w:rPr>
          <w:lang w:val="vi-VN"/>
        </w:rPr>
        <w:t xml:space="preserve">So sánh với một số quốc gia khác, cho thấy, nếu đầu tư xã hội cho NC&amp;PT bình quân theo cán bộ nghiên cứu </w:t>
      </w:r>
      <w:r>
        <w:rPr>
          <w:lang w:val="vi-VN"/>
        </w:rPr>
        <w:t xml:space="preserve">FTE </w:t>
      </w:r>
      <w:r w:rsidRPr="00454A79">
        <w:rPr>
          <w:lang w:val="vi-VN"/>
        </w:rPr>
        <w:t>năm 2013 của Việt Nam (</w:t>
      </w:r>
      <w:r>
        <w:rPr>
          <w:lang w:val="vi-VN"/>
        </w:rPr>
        <w:t>28</w:t>
      </w:r>
      <w:r w:rsidRPr="00454A79">
        <w:rPr>
          <w:lang w:val="vi-VN"/>
        </w:rPr>
        <w:t>.</w:t>
      </w:r>
      <w:r>
        <w:rPr>
          <w:lang w:val="vi-VN"/>
        </w:rPr>
        <w:t>4</w:t>
      </w:r>
      <w:r w:rsidRPr="00454A79">
        <w:rPr>
          <w:lang w:val="vi-VN"/>
        </w:rPr>
        <w:t>9</w:t>
      </w:r>
      <w:r>
        <w:rPr>
          <w:lang w:val="vi-VN"/>
        </w:rPr>
        <w:t>8</w:t>
      </w:r>
      <w:r w:rsidRPr="00454A79">
        <w:rPr>
          <w:lang w:val="vi-VN"/>
        </w:rPr>
        <w:t xml:space="preserve"> USD PPP) là 1 thì con số này của </w:t>
      </w:r>
      <w:r>
        <w:rPr>
          <w:lang w:val="vi-VN"/>
        </w:rPr>
        <w:t xml:space="preserve">28 quốc gia </w:t>
      </w:r>
      <w:r w:rsidRPr="00454A79">
        <w:rPr>
          <w:lang w:val="vi-VN"/>
        </w:rPr>
        <w:t xml:space="preserve">EU là </w:t>
      </w:r>
      <w:r>
        <w:rPr>
          <w:lang w:val="vi-VN"/>
        </w:rPr>
        <w:t>7</w:t>
      </w:r>
      <w:r w:rsidRPr="00454A79">
        <w:rPr>
          <w:lang w:val="vi-VN"/>
        </w:rPr>
        <w:t>,</w:t>
      </w:r>
      <w:r>
        <w:rPr>
          <w:lang w:val="vi-VN"/>
        </w:rPr>
        <w:t>3</w:t>
      </w:r>
      <w:r w:rsidRPr="00454A79">
        <w:rPr>
          <w:lang w:val="vi-VN"/>
        </w:rPr>
        <w:t>; Hoa Kỳ (số liệu 2012) là 1</w:t>
      </w:r>
      <w:r>
        <w:rPr>
          <w:lang w:val="vi-VN"/>
        </w:rPr>
        <w:t>2</w:t>
      </w:r>
      <w:r w:rsidRPr="00454A79">
        <w:rPr>
          <w:lang w:val="vi-VN"/>
        </w:rPr>
        <w:t>,</w:t>
      </w:r>
      <w:r>
        <w:rPr>
          <w:lang w:val="vi-VN"/>
        </w:rPr>
        <w:t>1</w:t>
      </w:r>
      <w:r w:rsidRPr="00454A79">
        <w:rPr>
          <w:lang w:val="vi-VN"/>
        </w:rPr>
        <w:t xml:space="preserve">; Nhật Bản là </w:t>
      </w:r>
      <w:r>
        <w:rPr>
          <w:lang w:val="vi-VN"/>
        </w:rPr>
        <w:t>8</w:t>
      </w:r>
      <w:r w:rsidRPr="00454A79">
        <w:rPr>
          <w:lang w:val="vi-VN"/>
        </w:rPr>
        <w:t>,</w:t>
      </w:r>
      <w:r>
        <w:rPr>
          <w:lang w:val="vi-VN"/>
        </w:rPr>
        <w:t>6</w:t>
      </w:r>
      <w:r w:rsidRPr="00454A79">
        <w:rPr>
          <w:lang w:val="vi-VN"/>
        </w:rPr>
        <w:t xml:space="preserve">; Singapo là </w:t>
      </w:r>
      <w:r>
        <w:rPr>
          <w:lang w:val="vi-VN"/>
        </w:rPr>
        <w:t>8</w:t>
      </w:r>
      <w:r w:rsidRPr="00454A79">
        <w:rPr>
          <w:lang w:val="vi-VN"/>
        </w:rPr>
        <w:t xml:space="preserve">,4; Trung Quốc là </w:t>
      </w:r>
      <w:r>
        <w:rPr>
          <w:lang w:val="vi-VN"/>
        </w:rPr>
        <w:t>7</w:t>
      </w:r>
      <w:r w:rsidRPr="00454A79">
        <w:rPr>
          <w:lang w:val="vi-VN"/>
        </w:rPr>
        <w:t xml:space="preserve">,9; Hàn Quốc là </w:t>
      </w:r>
      <w:r>
        <w:rPr>
          <w:lang w:val="vi-VN"/>
        </w:rPr>
        <w:t>7</w:t>
      </w:r>
      <w:r w:rsidRPr="00454A79">
        <w:rPr>
          <w:lang w:val="vi-VN"/>
        </w:rPr>
        <w:t>,</w:t>
      </w:r>
      <w:r>
        <w:rPr>
          <w:lang w:val="vi-VN"/>
        </w:rPr>
        <w:t>4</w:t>
      </w:r>
      <w:r w:rsidRPr="00454A79">
        <w:rPr>
          <w:lang w:val="vi-VN"/>
        </w:rPr>
        <w:t xml:space="preserve">; Malaysia là </w:t>
      </w:r>
      <w:r>
        <w:rPr>
          <w:lang w:val="vi-VN"/>
        </w:rPr>
        <w:t>5</w:t>
      </w:r>
      <w:r w:rsidRPr="00454A79">
        <w:rPr>
          <w:lang w:val="vi-VN"/>
        </w:rPr>
        <w:t>,</w:t>
      </w:r>
      <w:r>
        <w:rPr>
          <w:lang w:val="vi-VN"/>
        </w:rPr>
        <w:t>1</w:t>
      </w:r>
      <w:r w:rsidRPr="00454A79">
        <w:rPr>
          <w:lang w:val="vi-VN"/>
        </w:rPr>
        <w:t>; Thái Lan là 3</w:t>
      </w:r>
      <w:r>
        <w:rPr>
          <w:lang w:val="vi-VN"/>
        </w:rPr>
        <w:t>,4</w:t>
      </w:r>
      <w:r w:rsidRPr="00454A79">
        <w:rPr>
          <w:lang w:val="vi-VN"/>
        </w:rPr>
        <w:t xml:space="preserve"> và Liên bang Nga là 2,</w:t>
      </w:r>
      <w:r>
        <w:rPr>
          <w:lang w:val="vi-VN"/>
        </w:rPr>
        <w:t>9</w:t>
      </w:r>
      <w:r w:rsidRPr="00454A79">
        <w:rPr>
          <w:lang w:val="vi-VN"/>
        </w:rPr>
        <w:t xml:space="preserve"> (Bảng </w:t>
      </w:r>
      <w:r w:rsidR="00320ECA">
        <w:rPr>
          <w:lang w:val="vi-VN"/>
        </w:rPr>
        <w:t>1</w:t>
      </w:r>
      <w:r w:rsidRPr="00454A79">
        <w:rPr>
          <w:lang w:val="vi-VN"/>
        </w:rPr>
        <w:t>.21).</w:t>
      </w:r>
    </w:p>
    <w:p w:rsidR="00A50899" w:rsidRDefault="00A50899" w:rsidP="00A50899">
      <w:pPr>
        <w:pStyle w:val="khcnvnTenBang"/>
        <w:keepNext w:val="0"/>
        <w:spacing w:before="200"/>
        <w:rPr>
          <w:lang w:val="vi-VN"/>
        </w:rPr>
      </w:pPr>
      <w:bookmarkStart w:id="50" w:name="_Toc453342477"/>
      <w:r w:rsidRPr="00454A79">
        <w:rPr>
          <w:b/>
          <w:i/>
          <w:lang w:val="vi-VN"/>
        </w:rPr>
        <w:t xml:space="preserve">Bảng </w:t>
      </w:r>
      <w:r w:rsidR="00320ECA">
        <w:rPr>
          <w:b/>
          <w:i/>
          <w:lang w:val="vi-VN"/>
        </w:rPr>
        <w:t>1</w:t>
      </w:r>
      <w:r w:rsidRPr="00454A79">
        <w:rPr>
          <w:b/>
          <w:i/>
          <w:lang w:val="vi-VN"/>
        </w:rPr>
        <w:t xml:space="preserve">.21. </w:t>
      </w:r>
      <w:r>
        <w:rPr>
          <w:lang w:val="vi-VN"/>
        </w:rPr>
        <w:t>Bình quân chi quốc gia</w:t>
      </w:r>
      <w:r w:rsidRPr="00454A79">
        <w:rPr>
          <w:lang w:val="vi-VN"/>
        </w:rPr>
        <w:t xml:space="preserve"> cho NC&amp;PT theo cán bộ nghiên cứu</w:t>
      </w:r>
      <w:r>
        <w:rPr>
          <w:lang w:val="vi-VN"/>
        </w:rPr>
        <w:t xml:space="preserve"> </w:t>
      </w:r>
      <w:r>
        <w:t>(</w:t>
      </w:r>
      <w:r>
        <w:rPr>
          <w:lang w:val="vi-VN"/>
        </w:rPr>
        <w:t>FTE</w:t>
      </w:r>
      <w:r>
        <w:t>)</w:t>
      </w:r>
      <w:r w:rsidR="00894554">
        <w:t xml:space="preserve"> </w:t>
      </w:r>
      <w:r w:rsidRPr="00454A79">
        <w:rPr>
          <w:lang w:val="vi-VN"/>
        </w:rPr>
        <w:t>tại một số quốc gia</w:t>
      </w:r>
      <w:bookmarkEnd w:id="50"/>
    </w:p>
    <w:tbl>
      <w:tblPr>
        <w:tblW w:w="49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6"/>
        <w:gridCol w:w="2077"/>
        <w:gridCol w:w="1902"/>
        <w:gridCol w:w="2184"/>
        <w:gridCol w:w="1063"/>
      </w:tblGrid>
      <w:tr w:rsidR="00A50899" w:rsidRPr="00C25AF6" w:rsidTr="00A324B6">
        <w:trPr>
          <w:trHeight w:val="349"/>
          <w:jc w:val="center"/>
        </w:trPr>
        <w:tc>
          <w:tcPr>
            <w:tcW w:w="1099" w:type="pct"/>
            <w:tcBorders>
              <w:top w:val="single" w:sz="4" w:space="0" w:color="000000"/>
              <w:left w:val="single" w:sz="4" w:space="0" w:color="000000"/>
              <w:bottom w:val="single" w:sz="4" w:space="0" w:color="000000"/>
              <w:right w:val="single" w:sz="4" w:space="0" w:color="000000"/>
            </w:tcBorders>
            <w:shd w:val="clear" w:color="auto" w:fill="66CCFF"/>
            <w:vAlign w:val="center"/>
          </w:tcPr>
          <w:p w:rsidR="00A50899" w:rsidRPr="007E1313" w:rsidRDefault="00A50899" w:rsidP="00A324B6">
            <w:pPr>
              <w:pStyle w:val="Bang2"/>
              <w:keepNext w:val="0"/>
              <w:spacing w:before="80" w:after="80"/>
              <w:jc w:val="center"/>
              <w:rPr>
                <w:rFonts w:cs="Arial"/>
                <w:b/>
                <w:sz w:val="18"/>
                <w:szCs w:val="18"/>
                <w:lang w:val="en-GB"/>
              </w:rPr>
            </w:pPr>
            <w:r w:rsidRPr="007E1313">
              <w:rPr>
                <w:rFonts w:cs="Arial"/>
                <w:b/>
                <w:sz w:val="18"/>
                <w:szCs w:val="18"/>
                <w:lang w:val="en-GB"/>
              </w:rPr>
              <w:t>Quốc gia</w:t>
            </w:r>
          </w:p>
        </w:tc>
        <w:tc>
          <w:tcPr>
            <w:tcW w:w="1121" w:type="pct"/>
            <w:tcBorders>
              <w:top w:val="single" w:sz="4" w:space="0" w:color="000000"/>
              <w:left w:val="single" w:sz="4" w:space="0" w:color="000000"/>
              <w:bottom w:val="single" w:sz="4" w:space="0" w:color="000000"/>
              <w:right w:val="single" w:sz="4" w:space="0" w:color="000000"/>
            </w:tcBorders>
            <w:shd w:val="clear" w:color="auto" w:fill="66CCFF"/>
            <w:vAlign w:val="center"/>
          </w:tcPr>
          <w:p w:rsidR="00320ECA" w:rsidRDefault="00A50899" w:rsidP="00A324B6">
            <w:pPr>
              <w:pStyle w:val="Bang2"/>
              <w:keepNext w:val="0"/>
              <w:spacing w:before="80" w:after="80"/>
              <w:jc w:val="center"/>
              <w:rPr>
                <w:rFonts w:cs="Arial"/>
                <w:b/>
                <w:sz w:val="18"/>
                <w:szCs w:val="18"/>
                <w:lang w:val="en-GB"/>
              </w:rPr>
            </w:pPr>
            <w:r w:rsidRPr="007E1313">
              <w:rPr>
                <w:rFonts w:cs="Arial"/>
                <w:b/>
                <w:sz w:val="18"/>
                <w:szCs w:val="18"/>
                <w:lang w:val="en-GB"/>
              </w:rPr>
              <w:t xml:space="preserve">Tổng đầu tư </w:t>
            </w:r>
          </w:p>
          <w:p w:rsidR="00320ECA" w:rsidRDefault="00A50899" w:rsidP="00A324B6">
            <w:pPr>
              <w:pStyle w:val="Bang2"/>
              <w:keepNext w:val="0"/>
              <w:spacing w:before="80" w:after="80"/>
              <w:jc w:val="center"/>
              <w:rPr>
                <w:rFonts w:cs="Arial"/>
                <w:b/>
                <w:sz w:val="18"/>
                <w:szCs w:val="18"/>
                <w:lang w:val="en-GB"/>
              </w:rPr>
            </w:pPr>
            <w:r w:rsidRPr="007E1313">
              <w:rPr>
                <w:rFonts w:cs="Arial"/>
                <w:b/>
                <w:sz w:val="18"/>
                <w:szCs w:val="18"/>
                <w:lang w:val="en-GB"/>
              </w:rPr>
              <w:t xml:space="preserve">cho NC&amp;PT </w:t>
            </w:r>
          </w:p>
          <w:p w:rsidR="00A50899" w:rsidRPr="007E1313" w:rsidRDefault="00A50899" w:rsidP="00A324B6">
            <w:pPr>
              <w:pStyle w:val="Bang2"/>
              <w:keepNext w:val="0"/>
              <w:spacing w:before="80" w:after="80"/>
              <w:jc w:val="center"/>
              <w:rPr>
                <w:rFonts w:cs="Arial"/>
                <w:b/>
                <w:sz w:val="18"/>
                <w:szCs w:val="18"/>
                <w:lang w:val="en-GB"/>
              </w:rPr>
            </w:pPr>
            <w:r w:rsidRPr="007E1313">
              <w:rPr>
                <w:rFonts w:cs="Arial"/>
                <w:b/>
                <w:sz w:val="18"/>
                <w:szCs w:val="18"/>
                <w:lang w:val="en-GB"/>
              </w:rPr>
              <w:t>(triệu USD PPP)</w:t>
            </w:r>
          </w:p>
        </w:tc>
        <w:tc>
          <w:tcPr>
            <w:tcW w:w="1027" w:type="pct"/>
            <w:tcBorders>
              <w:top w:val="single" w:sz="4" w:space="0" w:color="000000"/>
              <w:left w:val="single" w:sz="4" w:space="0" w:color="000000"/>
              <w:bottom w:val="single" w:sz="4" w:space="0" w:color="000000"/>
              <w:right w:val="single" w:sz="4" w:space="0" w:color="000000"/>
            </w:tcBorders>
            <w:shd w:val="clear" w:color="auto" w:fill="66CCFF"/>
            <w:vAlign w:val="center"/>
          </w:tcPr>
          <w:p w:rsidR="00320ECA" w:rsidRDefault="00A50899" w:rsidP="00A324B6">
            <w:pPr>
              <w:pStyle w:val="Bang2"/>
              <w:keepNext w:val="0"/>
              <w:spacing w:before="80" w:after="80"/>
              <w:jc w:val="center"/>
              <w:rPr>
                <w:rFonts w:cs="Arial"/>
                <w:b/>
                <w:sz w:val="18"/>
                <w:szCs w:val="18"/>
                <w:lang w:val="en-GB"/>
              </w:rPr>
            </w:pPr>
            <w:r w:rsidRPr="007E1313">
              <w:rPr>
                <w:rFonts w:cs="Arial"/>
                <w:b/>
                <w:sz w:val="18"/>
                <w:szCs w:val="18"/>
                <w:lang w:val="en-GB"/>
              </w:rPr>
              <w:t xml:space="preserve">Tổng số </w:t>
            </w:r>
          </w:p>
          <w:p w:rsidR="00A50899" w:rsidRPr="007E1313" w:rsidRDefault="00A50899" w:rsidP="00A324B6">
            <w:pPr>
              <w:pStyle w:val="Bang2"/>
              <w:keepNext w:val="0"/>
              <w:spacing w:before="80" w:after="80"/>
              <w:jc w:val="center"/>
              <w:rPr>
                <w:rFonts w:cs="Arial"/>
                <w:b/>
                <w:sz w:val="18"/>
                <w:szCs w:val="18"/>
                <w:lang w:val="en-GB"/>
              </w:rPr>
            </w:pPr>
            <w:r w:rsidRPr="007E1313">
              <w:rPr>
                <w:rFonts w:cs="Arial"/>
                <w:b/>
                <w:sz w:val="18"/>
                <w:szCs w:val="18"/>
                <w:lang w:val="en-GB"/>
              </w:rPr>
              <w:t>cán bộ nghiên cứu (FTE)</w:t>
            </w:r>
          </w:p>
        </w:tc>
        <w:tc>
          <w:tcPr>
            <w:tcW w:w="1179" w:type="pct"/>
            <w:tcBorders>
              <w:top w:val="single" w:sz="4" w:space="0" w:color="000000"/>
              <w:left w:val="single" w:sz="4" w:space="0" w:color="000000"/>
              <w:bottom w:val="single" w:sz="4" w:space="0" w:color="000000"/>
              <w:right w:val="single" w:sz="4" w:space="0" w:color="000000"/>
            </w:tcBorders>
            <w:shd w:val="clear" w:color="auto" w:fill="66CCFF"/>
            <w:vAlign w:val="center"/>
          </w:tcPr>
          <w:p w:rsidR="00320ECA" w:rsidRDefault="00A50899" w:rsidP="00A324B6">
            <w:pPr>
              <w:pStyle w:val="Bang2"/>
              <w:keepNext w:val="0"/>
              <w:spacing w:before="80" w:after="80"/>
              <w:jc w:val="center"/>
              <w:rPr>
                <w:rFonts w:cs="Arial"/>
                <w:b/>
                <w:sz w:val="18"/>
                <w:szCs w:val="18"/>
                <w:lang w:val="en-GB"/>
              </w:rPr>
            </w:pPr>
            <w:r w:rsidRPr="007E1313">
              <w:rPr>
                <w:rFonts w:cs="Arial"/>
                <w:b/>
                <w:sz w:val="18"/>
                <w:szCs w:val="18"/>
                <w:lang w:val="en-GB"/>
              </w:rPr>
              <w:t xml:space="preserve">Bình quân </w:t>
            </w:r>
          </w:p>
          <w:p w:rsidR="00320ECA" w:rsidRDefault="00A50899" w:rsidP="00A324B6">
            <w:pPr>
              <w:pStyle w:val="Bang2"/>
              <w:keepNext w:val="0"/>
              <w:spacing w:before="80" w:after="80"/>
              <w:jc w:val="center"/>
              <w:rPr>
                <w:rFonts w:cs="Arial"/>
                <w:b/>
                <w:sz w:val="18"/>
                <w:szCs w:val="18"/>
                <w:lang w:val="en-GB"/>
              </w:rPr>
            </w:pPr>
            <w:r w:rsidRPr="007E1313">
              <w:rPr>
                <w:rFonts w:cs="Arial"/>
                <w:b/>
                <w:sz w:val="18"/>
                <w:szCs w:val="18"/>
                <w:lang w:val="en-GB"/>
              </w:rPr>
              <w:t>kinh phí NC&amp;PT/</w:t>
            </w:r>
          </w:p>
          <w:p w:rsidR="00A50899" w:rsidRPr="007E1313" w:rsidRDefault="00A50899" w:rsidP="00A324B6">
            <w:pPr>
              <w:pStyle w:val="Bang2"/>
              <w:keepNext w:val="0"/>
              <w:spacing w:before="80" w:after="80"/>
              <w:jc w:val="center"/>
              <w:rPr>
                <w:rFonts w:cs="Arial"/>
                <w:b/>
                <w:sz w:val="18"/>
                <w:szCs w:val="18"/>
                <w:lang w:val="en-GB"/>
              </w:rPr>
            </w:pPr>
            <w:r w:rsidRPr="007E1313">
              <w:rPr>
                <w:rFonts w:cs="Arial"/>
                <w:b/>
                <w:sz w:val="18"/>
                <w:szCs w:val="18"/>
                <w:lang w:val="en-GB"/>
              </w:rPr>
              <w:t>CBNC (USD PPP)</w:t>
            </w:r>
          </w:p>
        </w:tc>
        <w:tc>
          <w:tcPr>
            <w:tcW w:w="574" w:type="pct"/>
            <w:tcBorders>
              <w:top w:val="single" w:sz="4" w:space="0" w:color="000000"/>
              <w:left w:val="single" w:sz="4" w:space="0" w:color="000000"/>
              <w:bottom w:val="single" w:sz="4" w:space="0" w:color="000000"/>
              <w:right w:val="single" w:sz="4" w:space="0" w:color="000000"/>
            </w:tcBorders>
            <w:shd w:val="clear" w:color="auto" w:fill="66CCFF"/>
            <w:vAlign w:val="center"/>
          </w:tcPr>
          <w:p w:rsidR="00A50899" w:rsidRPr="007E1313" w:rsidRDefault="00A50899" w:rsidP="00A324B6">
            <w:pPr>
              <w:pStyle w:val="Bang2"/>
              <w:keepNext w:val="0"/>
              <w:spacing w:before="80" w:after="80"/>
              <w:jc w:val="center"/>
              <w:rPr>
                <w:rFonts w:cs="Arial"/>
                <w:b/>
                <w:sz w:val="18"/>
                <w:szCs w:val="18"/>
                <w:lang w:val="en-GB"/>
              </w:rPr>
            </w:pPr>
            <w:r w:rsidRPr="007E1313">
              <w:rPr>
                <w:rFonts w:cs="Arial"/>
                <w:b/>
                <w:sz w:val="18"/>
                <w:szCs w:val="18"/>
                <w:lang w:val="en-GB"/>
              </w:rPr>
              <w:t>Số liệu năm</w:t>
            </w:r>
          </w:p>
        </w:tc>
      </w:tr>
      <w:tr w:rsidR="00A50899" w:rsidRPr="00C25AF6" w:rsidTr="00A324B6">
        <w:trPr>
          <w:trHeight w:val="349"/>
          <w:jc w:val="center"/>
        </w:trPr>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rPr>
                <w:rFonts w:cs="Arial"/>
                <w:szCs w:val="20"/>
                <w:lang w:val="en-GB"/>
              </w:rPr>
            </w:pPr>
            <w:r w:rsidRPr="007E1313">
              <w:rPr>
                <w:rFonts w:cs="Arial"/>
                <w:szCs w:val="20"/>
                <w:lang w:val="en-GB"/>
              </w:rPr>
              <w:t xml:space="preserve">28 quốc gia EU </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rPr>
              <w:t>359.810,4</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rPr>
              <w:t>1.731.241</w:t>
            </w:r>
          </w:p>
        </w:tc>
        <w:tc>
          <w:tcPr>
            <w:tcW w:w="11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385"/>
              <w:jc w:val="right"/>
              <w:rPr>
                <w:rFonts w:cs="Arial"/>
                <w:color w:val="000000"/>
                <w:szCs w:val="20"/>
              </w:rPr>
            </w:pPr>
            <w:r w:rsidRPr="007E1313">
              <w:rPr>
                <w:rFonts w:cs="Arial"/>
                <w:color w:val="000000"/>
                <w:szCs w:val="20"/>
              </w:rPr>
              <w:t>207.834</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113"/>
              <w:jc w:val="right"/>
              <w:rPr>
                <w:rFonts w:cs="Arial"/>
                <w:color w:val="000000"/>
                <w:szCs w:val="20"/>
              </w:rPr>
            </w:pPr>
            <w:r w:rsidRPr="007E1313">
              <w:rPr>
                <w:rFonts w:cs="Arial"/>
                <w:color w:val="000000"/>
                <w:szCs w:val="20"/>
              </w:rPr>
              <w:t>2013</w:t>
            </w:r>
          </w:p>
        </w:tc>
      </w:tr>
      <w:tr w:rsidR="00A50899" w:rsidRPr="00C25AF6" w:rsidTr="00A324B6">
        <w:trPr>
          <w:trHeight w:val="349"/>
          <w:jc w:val="center"/>
        </w:trPr>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rPr>
                <w:rFonts w:cs="Arial"/>
                <w:szCs w:val="20"/>
                <w:lang w:val="en-GB"/>
              </w:rPr>
            </w:pPr>
            <w:r w:rsidRPr="007E1313">
              <w:rPr>
                <w:rFonts w:cs="Arial"/>
                <w:szCs w:val="20"/>
                <w:lang w:val="en-GB"/>
              </w:rPr>
              <w:t>Hoa Kỳ</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rPr>
              <w:t>436.078,0</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rPr>
              <w:t>1.265.064</w:t>
            </w:r>
          </w:p>
        </w:tc>
        <w:tc>
          <w:tcPr>
            <w:tcW w:w="11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385"/>
              <w:jc w:val="right"/>
              <w:rPr>
                <w:rFonts w:cs="Arial"/>
                <w:color w:val="000000"/>
                <w:szCs w:val="20"/>
              </w:rPr>
            </w:pPr>
            <w:r w:rsidRPr="007E1313">
              <w:rPr>
                <w:rFonts w:cs="Arial"/>
                <w:color w:val="000000"/>
                <w:szCs w:val="20"/>
              </w:rPr>
              <w:t>344.708</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113"/>
              <w:jc w:val="right"/>
              <w:rPr>
                <w:rFonts w:cs="Arial"/>
                <w:color w:val="000000"/>
                <w:szCs w:val="20"/>
              </w:rPr>
            </w:pPr>
            <w:r w:rsidRPr="007E1313">
              <w:rPr>
                <w:rFonts w:cs="Arial"/>
                <w:color w:val="000000"/>
                <w:szCs w:val="20"/>
              </w:rPr>
              <w:t>2012</w:t>
            </w:r>
          </w:p>
        </w:tc>
      </w:tr>
      <w:tr w:rsidR="00A50899" w:rsidRPr="00C25AF6" w:rsidTr="00A324B6">
        <w:trPr>
          <w:trHeight w:val="349"/>
          <w:jc w:val="center"/>
        </w:trPr>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rPr>
                <w:rFonts w:cs="Arial"/>
                <w:szCs w:val="20"/>
                <w:lang w:val="en-GB"/>
              </w:rPr>
            </w:pPr>
            <w:r w:rsidRPr="007E1313">
              <w:rPr>
                <w:rFonts w:cs="Arial"/>
                <w:szCs w:val="20"/>
                <w:lang w:val="en-GB"/>
              </w:rPr>
              <w:t>Liên bang Nga</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rPr>
              <w:t>36.614,4</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rPr>
              <w:t>440.581</w:t>
            </w:r>
          </w:p>
        </w:tc>
        <w:tc>
          <w:tcPr>
            <w:tcW w:w="11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385"/>
              <w:jc w:val="right"/>
              <w:rPr>
                <w:rFonts w:cs="Arial"/>
                <w:color w:val="000000"/>
                <w:szCs w:val="20"/>
              </w:rPr>
            </w:pPr>
            <w:r w:rsidRPr="007E1313">
              <w:rPr>
                <w:rFonts w:cs="Arial"/>
                <w:color w:val="000000"/>
                <w:szCs w:val="20"/>
              </w:rPr>
              <w:t>83.105</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113"/>
              <w:jc w:val="right"/>
              <w:rPr>
                <w:rFonts w:cs="Arial"/>
                <w:color w:val="000000"/>
                <w:szCs w:val="20"/>
              </w:rPr>
            </w:pPr>
            <w:r w:rsidRPr="007E1313">
              <w:rPr>
                <w:rFonts w:cs="Arial"/>
                <w:color w:val="000000"/>
                <w:szCs w:val="20"/>
              </w:rPr>
              <w:t>2013</w:t>
            </w:r>
          </w:p>
        </w:tc>
      </w:tr>
      <w:tr w:rsidR="00A50899" w:rsidRPr="00C25AF6" w:rsidTr="00A324B6">
        <w:trPr>
          <w:trHeight w:val="349"/>
          <w:jc w:val="center"/>
        </w:trPr>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rPr>
                <w:rFonts w:cs="Arial"/>
                <w:szCs w:val="20"/>
                <w:lang w:val="en-GB"/>
              </w:rPr>
            </w:pPr>
            <w:r w:rsidRPr="007E1313">
              <w:rPr>
                <w:rFonts w:cs="Arial"/>
                <w:szCs w:val="20"/>
                <w:lang w:val="en-GB"/>
              </w:rPr>
              <w:t>Trung Quốc</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rPr>
              <w:t>333.521,6</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rPr>
              <w:t>1.484.040</w:t>
            </w:r>
          </w:p>
        </w:tc>
        <w:tc>
          <w:tcPr>
            <w:tcW w:w="11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385"/>
              <w:jc w:val="right"/>
              <w:rPr>
                <w:rFonts w:cs="Arial"/>
                <w:color w:val="000000"/>
                <w:szCs w:val="20"/>
              </w:rPr>
            </w:pPr>
            <w:r w:rsidRPr="007E1313">
              <w:rPr>
                <w:rFonts w:cs="Arial"/>
                <w:color w:val="000000"/>
                <w:szCs w:val="20"/>
              </w:rPr>
              <w:t>224.739</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113"/>
              <w:jc w:val="right"/>
              <w:rPr>
                <w:rFonts w:cs="Arial"/>
                <w:color w:val="000000"/>
                <w:szCs w:val="20"/>
              </w:rPr>
            </w:pPr>
            <w:r w:rsidRPr="007E1313">
              <w:rPr>
                <w:rFonts w:cs="Arial"/>
                <w:color w:val="000000"/>
                <w:szCs w:val="20"/>
              </w:rPr>
              <w:t>2013</w:t>
            </w:r>
          </w:p>
        </w:tc>
      </w:tr>
      <w:tr w:rsidR="00A50899" w:rsidRPr="00C25AF6" w:rsidTr="00A324B6">
        <w:trPr>
          <w:trHeight w:val="349"/>
          <w:jc w:val="center"/>
        </w:trPr>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rPr>
                <w:rFonts w:cs="Arial"/>
                <w:szCs w:val="20"/>
                <w:lang w:val="en-GB"/>
              </w:rPr>
            </w:pPr>
            <w:r w:rsidRPr="007E1313">
              <w:rPr>
                <w:rFonts w:cs="Arial"/>
                <w:szCs w:val="20"/>
                <w:lang w:val="en-GB"/>
              </w:rPr>
              <w:t>Nhật Bản</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rPr>
              <w:t>162.347,2</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rPr>
              <w:t>660.489</w:t>
            </w:r>
          </w:p>
        </w:tc>
        <w:tc>
          <w:tcPr>
            <w:tcW w:w="11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385"/>
              <w:jc w:val="right"/>
              <w:rPr>
                <w:rFonts w:cs="Arial"/>
                <w:color w:val="000000"/>
                <w:szCs w:val="20"/>
              </w:rPr>
            </w:pPr>
            <w:r w:rsidRPr="007E1313">
              <w:rPr>
                <w:rFonts w:cs="Arial"/>
                <w:color w:val="000000"/>
                <w:szCs w:val="20"/>
              </w:rPr>
              <w:t>245.798</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113"/>
              <w:jc w:val="right"/>
              <w:rPr>
                <w:rFonts w:cs="Arial"/>
                <w:color w:val="000000"/>
                <w:szCs w:val="20"/>
              </w:rPr>
            </w:pPr>
            <w:r w:rsidRPr="007E1313">
              <w:rPr>
                <w:rFonts w:cs="Arial"/>
                <w:color w:val="000000"/>
                <w:szCs w:val="20"/>
              </w:rPr>
              <w:t>2013</w:t>
            </w:r>
          </w:p>
        </w:tc>
      </w:tr>
      <w:tr w:rsidR="00A50899" w:rsidRPr="00C25AF6" w:rsidTr="00A324B6">
        <w:trPr>
          <w:trHeight w:val="349"/>
          <w:jc w:val="center"/>
        </w:trPr>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rPr>
                <w:rFonts w:cs="Arial"/>
                <w:szCs w:val="20"/>
                <w:lang w:val="en-GB"/>
              </w:rPr>
            </w:pPr>
            <w:r w:rsidRPr="007E1313">
              <w:rPr>
                <w:rFonts w:cs="Arial"/>
                <w:szCs w:val="20"/>
                <w:lang w:val="en-GB"/>
              </w:rPr>
              <w:t>Hàn Quốc</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rPr>
              <w:t>68.051,5</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rPr>
              <w:t>321.841</w:t>
            </w:r>
          </w:p>
        </w:tc>
        <w:tc>
          <w:tcPr>
            <w:tcW w:w="11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385"/>
              <w:jc w:val="right"/>
              <w:rPr>
                <w:rFonts w:cs="Arial"/>
                <w:color w:val="000000"/>
                <w:szCs w:val="20"/>
              </w:rPr>
            </w:pPr>
            <w:r w:rsidRPr="007E1313">
              <w:rPr>
                <w:rFonts w:cs="Arial"/>
                <w:color w:val="000000"/>
                <w:szCs w:val="20"/>
              </w:rPr>
              <w:t>211.444</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113"/>
              <w:jc w:val="right"/>
              <w:rPr>
                <w:rFonts w:cs="Arial"/>
                <w:color w:val="000000"/>
                <w:szCs w:val="20"/>
              </w:rPr>
            </w:pPr>
            <w:r w:rsidRPr="007E1313">
              <w:rPr>
                <w:rFonts w:cs="Arial"/>
                <w:color w:val="000000"/>
                <w:szCs w:val="20"/>
              </w:rPr>
              <w:t>2013</w:t>
            </w:r>
          </w:p>
        </w:tc>
      </w:tr>
      <w:tr w:rsidR="00A50899" w:rsidRPr="00C25AF6" w:rsidTr="00A324B6">
        <w:trPr>
          <w:trHeight w:val="349"/>
          <w:jc w:val="center"/>
        </w:trPr>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rPr>
                <w:rFonts w:cs="Arial"/>
                <w:szCs w:val="20"/>
                <w:lang w:val="en-GB"/>
              </w:rPr>
            </w:pPr>
            <w:r w:rsidRPr="007E1313">
              <w:rPr>
                <w:rFonts w:cs="Arial"/>
                <w:szCs w:val="20"/>
                <w:lang w:val="en-GB"/>
              </w:rPr>
              <w:t>Singapo</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rPr>
              <w:t>8.686,4</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rPr>
              <w:t>36.025</w:t>
            </w:r>
          </w:p>
        </w:tc>
        <w:tc>
          <w:tcPr>
            <w:tcW w:w="11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385"/>
              <w:jc w:val="right"/>
              <w:rPr>
                <w:rFonts w:cs="Arial"/>
                <w:color w:val="000000"/>
                <w:szCs w:val="20"/>
              </w:rPr>
            </w:pPr>
            <w:r w:rsidRPr="007E1313">
              <w:rPr>
                <w:rFonts w:cs="Arial"/>
                <w:color w:val="000000"/>
                <w:szCs w:val="20"/>
              </w:rPr>
              <w:t>241.121</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113"/>
              <w:jc w:val="right"/>
              <w:rPr>
                <w:rFonts w:cs="Arial"/>
                <w:color w:val="000000"/>
                <w:szCs w:val="20"/>
              </w:rPr>
            </w:pPr>
            <w:r w:rsidRPr="007E1313">
              <w:rPr>
                <w:rFonts w:cs="Arial"/>
                <w:color w:val="000000"/>
                <w:szCs w:val="20"/>
              </w:rPr>
              <w:t>2013</w:t>
            </w:r>
          </w:p>
        </w:tc>
      </w:tr>
      <w:tr w:rsidR="00A50899" w:rsidRPr="00C25AF6" w:rsidTr="00A324B6">
        <w:trPr>
          <w:trHeight w:val="349"/>
          <w:jc w:val="center"/>
        </w:trPr>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rPr>
                <w:rFonts w:cs="Arial"/>
                <w:szCs w:val="20"/>
                <w:lang w:val="en-GB"/>
              </w:rPr>
            </w:pPr>
            <w:r w:rsidRPr="007E1313">
              <w:rPr>
                <w:rFonts w:cs="Arial"/>
                <w:szCs w:val="20"/>
                <w:lang w:val="en-GB"/>
              </w:rPr>
              <w:t>Malaysia</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rPr>
              <w:t>6.872,6</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rPr>
              <w:t>47.231</w:t>
            </w:r>
          </w:p>
        </w:tc>
        <w:tc>
          <w:tcPr>
            <w:tcW w:w="11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385"/>
              <w:jc w:val="right"/>
              <w:rPr>
                <w:rFonts w:cs="Arial"/>
                <w:color w:val="000000"/>
                <w:szCs w:val="20"/>
              </w:rPr>
            </w:pPr>
            <w:r w:rsidRPr="007E1313">
              <w:rPr>
                <w:rFonts w:cs="Arial"/>
                <w:color w:val="000000"/>
                <w:szCs w:val="20"/>
              </w:rPr>
              <w:t>145.511</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113"/>
              <w:jc w:val="right"/>
              <w:rPr>
                <w:rFonts w:cs="Arial"/>
                <w:color w:val="000000"/>
                <w:szCs w:val="20"/>
              </w:rPr>
            </w:pPr>
            <w:r w:rsidRPr="007E1313">
              <w:rPr>
                <w:rFonts w:cs="Arial"/>
                <w:color w:val="000000"/>
                <w:szCs w:val="20"/>
              </w:rPr>
              <w:t>2011</w:t>
            </w:r>
          </w:p>
        </w:tc>
      </w:tr>
      <w:tr w:rsidR="00A50899" w:rsidRPr="00C25AF6" w:rsidTr="00A324B6">
        <w:trPr>
          <w:trHeight w:val="349"/>
          <w:jc w:val="center"/>
        </w:trPr>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rPr>
                <w:rFonts w:cs="Arial"/>
                <w:szCs w:val="20"/>
                <w:lang w:val="en-GB"/>
              </w:rPr>
            </w:pPr>
            <w:r w:rsidRPr="007E1313">
              <w:rPr>
                <w:rFonts w:cs="Arial"/>
                <w:szCs w:val="20"/>
                <w:lang w:val="en-GB"/>
              </w:rPr>
              <w:lastRenderedPageBreak/>
              <w:t>Việt Nam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rPr>
              <w:t>1.757,3</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lang w:val="vi-VN"/>
              </w:rPr>
              <w:t>61</w:t>
            </w:r>
            <w:r w:rsidRPr="007E1313">
              <w:rPr>
                <w:rFonts w:cs="Arial"/>
                <w:color w:val="000000"/>
                <w:szCs w:val="20"/>
              </w:rPr>
              <w:t>.</w:t>
            </w:r>
            <w:r w:rsidRPr="007E1313">
              <w:rPr>
                <w:rFonts w:cs="Arial"/>
                <w:color w:val="000000"/>
                <w:szCs w:val="20"/>
                <w:lang w:val="vi-VN"/>
              </w:rPr>
              <w:t>663</w:t>
            </w:r>
          </w:p>
        </w:tc>
        <w:tc>
          <w:tcPr>
            <w:tcW w:w="11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1926C6" w:rsidRDefault="00A50899" w:rsidP="00A324B6">
            <w:pPr>
              <w:pStyle w:val="Bang2"/>
              <w:keepNext w:val="0"/>
              <w:ind w:right="385"/>
              <w:jc w:val="right"/>
              <w:rPr>
                <w:rFonts w:cs="Arial"/>
                <w:color w:val="000000"/>
                <w:szCs w:val="20"/>
              </w:rPr>
            </w:pPr>
            <w:r w:rsidRPr="007E1313">
              <w:rPr>
                <w:rFonts w:cs="Arial"/>
                <w:color w:val="000000"/>
                <w:szCs w:val="20"/>
                <w:lang w:val="vi-VN"/>
              </w:rPr>
              <w:t>28</w:t>
            </w:r>
            <w:r w:rsidRPr="007E1313">
              <w:rPr>
                <w:rFonts w:cs="Arial"/>
                <w:color w:val="000000"/>
                <w:szCs w:val="20"/>
              </w:rPr>
              <w:t>.</w:t>
            </w:r>
            <w:r w:rsidRPr="007E1313">
              <w:rPr>
                <w:rFonts w:cs="Arial"/>
                <w:color w:val="000000"/>
                <w:szCs w:val="20"/>
                <w:lang w:val="vi-VN"/>
              </w:rPr>
              <w:t>4</w:t>
            </w:r>
            <w:r w:rsidRPr="007E1313">
              <w:rPr>
                <w:rFonts w:cs="Arial"/>
                <w:color w:val="000000"/>
                <w:szCs w:val="20"/>
              </w:rPr>
              <w:t>9</w:t>
            </w:r>
            <w:r w:rsidRPr="007E1313">
              <w:rPr>
                <w:rFonts w:cs="Arial"/>
                <w:color w:val="000000"/>
                <w:szCs w:val="20"/>
                <w:lang w:val="vi-VN"/>
              </w:rPr>
              <w:t>8</w:t>
            </w:r>
            <w:r>
              <w:rPr>
                <w:rFonts w:cs="Arial"/>
                <w:color w:val="000000"/>
                <w:szCs w:val="20"/>
              </w:rPr>
              <w:t>*</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113"/>
              <w:jc w:val="right"/>
              <w:rPr>
                <w:rFonts w:cs="Arial"/>
                <w:color w:val="000000"/>
                <w:szCs w:val="20"/>
              </w:rPr>
            </w:pPr>
            <w:r w:rsidRPr="007E1313">
              <w:rPr>
                <w:rFonts w:cs="Arial"/>
                <w:color w:val="000000"/>
                <w:szCs w:val="20"/>
              </w:rPr>
              <w:t>2013</w:t>
            </w:r>
          </w:p>
        </w:tc>
      </w:tr>
      <w:tr w:rsidR="00A50899" w:rsidRPr="00C25AF6" w:rsidTr="00A324B6">
        <w:trPr>
          <w:trHeight w:val="349"/>
          <w:jc w:val="center"/>
        </w:trPr>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rPr>
                <w:rFonts w:cs="Arial"/>
                <w:szCs w:val="20"/>
                <w:lang w:val="en-GB"/>
              </w:rPr>
            </w:pPr>
            <w:r w:rsidRPr="007E1313">
              <w:rPr>
                <w:rFonts w:cs="Arial"/>
                <w:szCs w:val="20"/>
                <w:lang w:val="en-GB"/>
              </w:rPr>
              <w:t>Thái Lan</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rPr>
              <w:t>3.380,0</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230"/>
              <w:jc w:val="right"/>
              <w:rPr>
                <w:rFonts w:cs="Arial"/>
                <w:color w:val="000000"/>
                <w:szCs w:val="20"/>
              </w:rPr>
            </w:pPr>
            <w:r w:rsidRPr="007E1313">
              <w:rPr>
                <w:rFonts w:cs="Arial"/>
                <w:color w:val="000000"/>
                <w:szCs w:val="20"/>
              </w:rPr>
              <w:t>36.328</w:t>
            </w:r>
          </w:p>
        </w:tc>
        <w:tc>
          <w:tcPr>
            <w:tcW w:w="11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385"/>
              <w:jc w:val="right"/>
              <w:rPr>
                <w:rFonts w:cs="Arial"/>
                <w:color w:val="000000"/>
                <w:szCs w:val="20"/>
              </w:rPr>
            </w:pPr>
            <w:r w:rsidRPr="007E1313">
              <w:rPr>
                <w:rFonts w:cs="Arial"/>
                <w:color w:val="000000"/>
                <w:szCs w:val="20"/>
              </w:rPr>
              <w:t>93.041</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0899" w:rsidRPr="007E1313" w:rsidRDefault="00A50899" w:rsidP="00A324B6">
            <w:pPr>
              <w:pStyle w:val="Bang2"/>
              <w:keepNext w:val="0"/>
              <w:ind w:right="113"/>
              <w:jc w:val="right"/>
              <w:rPr>
                <w:rFonts w:cs="Arial"/>
                <w:color w:val="000000"/>
                <w:szCs w:val="20"/>
              </w:rPr>
            </w:pPr>
            <w:r w:rsidRPr="007E1313">
              <w:rPr>
                <w:rFonts w:cs="Arial"/>
                <w:color w:val="000000"/>
                <w:szCs w:val="20"/>
              </w:rPr>
              <w:t>2011</w:t>
            </w:r>
          </w:p>
        </w:tc>
      </w:tr>
    </w:tbl>
    <w:p w:rsidR="00A50899" w:rsidRDefault="00A50899" w:rsidP="00A50899">
      <w:pPr>
        <w:pStyle w:val="nguon"/>
        <w:rPr>
          <w:lang w:val="en-US"/>
        </w:rPr>
      </w:pPr>
      <w:r>
        <w:rPr>
          <w:lang w:val="en-US"/>
        </w:rPr>
        <w:t>* Kinh phí t</w:t>
      </w:r>
      <w:r>
        <w:rPr>
          <w:rFonts w:cs="Arial"/>
          <w:lang w:val="en-GB"/>
        </w:rPr>
        <w:t>heo giá USD thực tế bằng 11.399 USD.</w:t>
      </w:r>
    </w:p>
    <w:p w:rsidR="00A50899" w:rsidRDefault="00A50899" w:rsidP="00A50899">
      <w:pPr>
        <w:pStyle w:val="nguon"/>
        <w:rPr>
          <w:lang w:val="en-US"/>
        </w:rPr>
      </w:pPr>
      <w:r>
        <w:t>Nguồn: World Bank: http://data.worldbank.org/indicator/GB.XPD.RSDV.GD.ZS</w:t>
      </w:r>
    </w:p>
    <w:p w:rsidR="00A50899" w:rsidRPr="00772378" w:rsidRDefault="00A50899" w:rsidP="00A50899">
      <w:pPr>
        <w:jc w:val="center"/>
        <w:rPr>
          <w:rFonts w:ascii="Arial" w:hAnsi="Arial" w:cs="Arial"/>
          <w:sz w:val="2"/>
          <w:szCs w:val="20"/>
        </w:rPr>
      </w:pPr>
    </w:p>
    <w:p w:rsidR="00A50899" w:rsidRPr="00320ECA" w:rsidRDefault="00320ECA" w:rsidP="00A50899">
      <w:pPr>
        <w:pStyle w:val="11khcnvn"/>
        <w:rPr>
          <w:rFonts w:ascii="Times New Roman" w:hAnsi="Times New Roman"/>
        </w:rPr>
      </w:pPr>
      <w:bookmarkStart w:id="51" w:name="_Toc451518372"/>
      <w:r w:rsidRPr="00320ECA">
        <w:rPr>
          <w:rFonts w:ascii="Times New Roman" w:hAnsi="Times New Roman"/>
          <w:lang w:val="en-US"/>
        </w:rPr>
        <w:t>1</w:t>
      </w:r>
      <w:r w:rsidR="00A50899" w:rsidRPr="00320ECA">
        <w:rPr>
          <w:rFonts w:ascii="Times New Roman" w:hAnsi="Times New Roman"/>
        </w:rPr>
        <w:t>.4. C</w:t>
      </w:r>
      <w:r w:rsidR="00A50899" w:rsidRPr="00320ECA">
        <w:rPr>
          <w:rFonts w:ascii="Times New Roman" w:hAnsi="Times New Roman"/>
          <w:lang w:val="en-US"/>
        </w:rPr>
        <w:t xml:space="preserve">ơ </w:t>
      </w:r>
      <w:r w:rsidR="00A50899" w:rsidRPr="00320ECA">
        <w:rPr>
          <w:rFonts w:ascii="Times New Roman" w:hAnsi="Times New Roman"/>
        </w:rPr>
        <w:t>sở hạ tầng cho khoa học và công nghệ</w:t>
      </w:r>
      <w:bookmarkEnd w:id="51"/>
    </w:p>
    <w:p w:rsidR="00A50899" w:rsidRDefault="00320ECA" w:rsidP="00A50899">
      <w:pPr>
        <w:pStyle w:val="111khcnvn"/>
        <w:spacing w:before="120"/>
      </w:pPr>
      <w:bookmarkStart w:id="52" w:name="_Toc451518373"/>
      <w:r w:rsidRPr="00320ECA">
        <w:rPr>
          <w:rFonts w:ascii="Times New Roman" w:hAnsi="Times New Roman"/>
        </w:rPr>
        <w:t>1</w:t>
      </w:r>
      <w:r w:rsidR="00A50899" w:rsidRPr="00320ECA">
        <w:rPr>
          <w:rFonts w:ascii="Times New Roman" w:hAnsi="Times New Roman"/>
        </w:rPr>
        <w:t>.4.1. Phòng</w:t>
      </w:r>
      <w:r w:rsidR="00A50899">
        <w:t xml:space="preserve"> thí nghiệm trọng điểm</w:t>
      </w:r>
      <w:bookmarkEnd w:id="52"/>
    </w:p>
    <w:p w:rsidR="00320ECA" w:rsidRDefault="00A50899" w:rsidP="00A50899">
      <w:pPr>
        <w:pStyle w:val="bodyA0"/>
        <w:spacing w:line="278" w:lineRule="auto"/>
        <w:rPr>
          <w:shd w:val="clear" w:color="auto" w:fill="FFFFFF"/>
        </w:rPr>
      </w:pPr>
      <w:r>
        <w:rPr>
          <w:shd w:val="clear" w:color="auto" w:fill="FFFFFF"/>
        </w:rPr>
        <w:t xml:space="preserve">Phòng thí nghiệm trọng điểm (PTNTĐ) là một loại hình tổ chức NC&amp;PT, được Nhà nước đầu tư trang bị cơ sở vật chất kỹ thuật hiện đại để đi đầu trong triển khai các nghiên cứu cơ bản, nghiên cứu cơ bản </w:t>
      </w:r>
      <w:r w:rsidRPr="00DD64B8">
        <w:rPr>
          <w:shd w:val="clear" w:color="auto" w:fill="FFFFFF"/>
        </w:rPr>
        <w:t>định</w:t>
      </w:r>
      <w:r>
        <w:rPr>
          <w:shd w:val="clear" w:color="auto" w:fill="FFFFFF"/>
        </w:rPr>
        <w:t xml:space="preserve"> hướng ứng dụng và phát triển công nghệ. Cơ quan chủ trì PTNTĐ là các trường đại học trọng điểm, viện nghiên cứu đầu ngành, khu công nghệ cao, tổ chức kinh tế có tiềm lực mạnh hoặc tổ chức KH&amp;CN được </w:t>
      </w:r>
    </w:p>
    <w:p w:rsidR="00A50899" w:rsidRDefault="00A50899" w:rsidP="00A50899">
      <w:pPr>
        <w:pStyle w:val="bodyA0"/>
        <w:spacing w:line="278" w:lineRule="auto"/>
        <w:rPr>
          <w:shd w:val="clear" w:color="auto" w:fill="FFFFFF"/>
        </w:rPr>
      </w:pPr>
      <w:r>
        <w:rPr>
          <w:shd w:val="clear" w:color="auto" w:fill="FFFFFF"/>
        </w:rPr>
        <w:t>Bộ trưởng Bộ Khoa học và Công nghệ công nhận qua tuyển chọn. Cơ quan chủ quản là các Bộ, cơ quan ngang Bộ, cơ quan thuộc Chính phủ hoặc tổ chức quản lý cấp trên trực tiếp của cơ quan chủ trì.</w:t>
      </w:r>
    </w:p>
    <w:p w:rsidR="00320ECA" w:rsidRDefault="00A50899" w:rsidP="00A50899">
      <w:pPr>
        <w:pStyle w:val="bodyA0"/>
        <w:spacing w:line="278" w:lineRule="auto"/>
      </w:pPr>
      <w:r>
        <w:t xml:space="preserve">Sau khi Đề án xây dựng các </w:t>
      </w:r>
      <w:r>
        <w:rPr>
          <w:shd w:val="clear" w:color="auto" w:fill="FFFFFF"/>
        </w:rPr>
        <w:t>PTNTĐ</w:t>
      </w:r>
      <w:r>
        <w:t xml:space="preserve"> giai đoạn 2000 - 2010 được hoàn thành, đến nay nước ta có 16 PTNTĐ đã được đầu tư xây dựng và đưa vào khai thác sử dụng thuộc 7 lĩnh vực: Công nghệ sinh học </w:t>
      </w:r>
    </w:p>
    <w:p w:rsidR="00A50899" w:rsidRDefault="00A50899" w:rsidP="00A50899">
      <w:pPr>
        <w:pStyle w:val="bodyA0"/>
        <w:spacing w:line="278" w:lineRule="auto"/>
      </w:pPr>
      <w:r>
        <w:t>(5 phòng); Công nghệ thông tin (3 phòng); Công nghệ vật liệu (2 phòng); Công nghệ chế tạo máy và tự động hóa (2 phòng); Hóa dầu (1 phòng); Năng lượng (1 phòng); Cơ sở hạ tầng (2 phòng). Các PTNTĐ nói trên được đặt tại 13 viện nghiên cứu, 3 trường đại học thuộc 8 Bộ, ngành.</w:t>
      </w:r>
    </w:p>
    <w:p w:rsidR="00A50899" w:rsidRDefault="00A50899" w:rsidP="00A50899">
      <w:pPr>
        <w:pStyle w:val="bodyA0"/>
        <w:spacing w:line="278" w:lineRule="auto"/>
      </w:pPr>
      <w:r>
        <w:t>Tổ chức bộ máy và chức năng nhiệm vụ của 16 PTNTĐ đã được xác lập theo hướng dẫn của Bộ Khoa học và Công nghệ và đi vào hoạt động ổn định. Đến nay 16/16 PTNTĐ đã có quyết định thành lập và bổ nhiệm chức danh Giám đốc; 14/16 PTNTĐ thành lập phòng ban và các chức danh theo Quyết định số 08/2008/QĐ-BKHCN của Bộ Khoa học và Công nghệ; 3/16 PTNTĐ sử dụng con dấu và tài khoản riêng.</w:t>
      </w:r>
    </w:p>
    <w:p w:rsidR="00A50899" w:rsidRDefault="00A50899" w:rsidP="00A50899">
      <w:pPr>
        <w:pStyle w:val="bodyA0"/>
        <w:spacing w:line="278" w:lineRule="auto"/>
      </w:pPr>
      <w:r>
        <w:t>16 Phòng thí nghiệm trọng điểm đã thu hút được 726 nhà khoa học có trình độ cao đến làm việc, gồm 528 nhà khoa học làm việc thường xuyên và ổn định lâu dài (trong đó có 34 giáo sư và phó giáo sư; 185 tiến sĩ và thạc sĩ, 234 cán bộ trình độ đại học và cao đẳng) và 198 nhà khoa học làm việc bán thời gian (trong đó có 35 giáo sư, phó giáo sư; 54 tiến sĩ và thạc sĩ, 32 cán bộ có trình độ đại học và cao đẳng).</w:t>
      </w:r>
    </w:p>
    <w:p w:rsidR="00A50899" w:rsidRDefault="00A50899" w:rsidP="00A50899">
      <w:pPr>
        <w:pStyle w:val="bodyA0"/>
      </w:pPr>
      <w:r>
        <w:t xml:space="preserve">Cơ sở vật chất kỹ thuật của các PTNTĐ được tăng cường và nâng cấp đáng kể, đáp ứng được yêu cầu nghiên cứu, đào tạo trong các lĩnh vực KH&amp;CN ưu tiên đã lựa chọn. Các thiết bị, máy móc được trang bị tại PTNTĐ tương đối đồng bộ, hiện đại so với các nước trong khu vực, đã tạo điều kiện để các tổ chức KH&amp;CN, các nhà khoa học trong nước có thể đặt ra và giải quyết những nhiệm vụ nghiên cứu quan trọng, tiếp cận được với trình độ tiên tiến trong khu vực và quốc tế </w:t>
      </w:r>
      <w:r>
        <w:lastRenderedPageBreak/>
        <w:t>ngay tại Việt Nam và hợp tác với nhiều phòng thí nghiệm, tổ chức khoa học hàng đầu trên thế giới và các nhà khoa học có trình độ cao ở nước ngoài.</w:t>
      </w:r>
    </w:p>
    <w:p w:rsidR="00A50899" w:rsidRDefault="00A50899" w:rsidP="00A50899">
      <w:pPr>
        <w:pStyle w:val="bodyA0"/>
      </w:pPr>
      <w:r>
        <w:t xml:space="preserve">Phòng thí nghiệm trọng điểm đã thực sự góp phần nâng cao năng lực, chất lượng nghiên cứu, đào tạo cho các nhà khoa học trong nước. Kết quả cụ thể mà các PTNTĐ đã đạt được như sau: Chủ trì thực hiện 221 nhiệm vụ KH&amp;CN cấp quốc gia và 281 nhiệm vụ KH&amp;CN cấp Bộ, ngành; hợp tác, trao đổi trong nghiên cứu và đào tạo với hàng chục tổ chức KH&amp;CN và phòng thí nghiệm hiện đại ở các nước tiên tiến trên thế giới; công bố quốc tế 760 công trình khoa học, công bố trong nước 2.364 công trình khoa học, đăng ký 26 sáng chế và 63 giải pháp hữu ích; đào tạo và tham gia đào tạo 279 tiến sĩ, 689 thạc sĩ và phục vụ hàng nghìn sinh viên làm luận án tốt nghiệp; thực hiện 182 hợp đồng dịch vụ, chuyển giao công nghệ. </w:t>
      </w:r>
    </w:p>
    <w:p w:rsidR="00A50899" w:rsidRPr="002A3E0F" w:rsidRDefault="00A50899" w:rsidP="00A50899">
      <w:pPr>
        <w:pStyle w:val="bodyA0"/>
        <w:spacing w:line="278" w:lineRule="auto"/>
      </w:pPr>
      <w:r>
        <w:t>Tính đến năm 2013, chỉ sau 2 năm so với năm 2011 số lượng nhiệm vụ KH&amp;CN cấp quốc gia trúng tuyển chủ trì thực hiện tăng lên hàng trăm nhiệm vụ; công trình khoa học công bố quốc tế tăng 80,95% (760 so với 420 công bố quốc tế năm 2011); công trình khoa học công bố trong nước tăng 30,18% (2.364 so với 1.816 công bố trong nước năm 2011); đăng ký sáng chế và giải pháp hữu ích tăng 62,18%; số lượng tiến sĩ và thạc sĩ được đào tạo tại các PTNTĐ tăng gần 100 người; hợp tác, trao đổi trong nghiên cứu và đào tạo với hàng trăm tổ chức KH&amp;CN và phòng thí nghiệm hiện đại ở các nước tiên tiến trên thế giới.</w:t>
      </w:r>
    </w:p>
    <w:p w:rsidR="00A50899" w:rsidRPr="005F5D82" w:rsidRDefault="00A50899" w:rsidP="00A50899">
      <w:pPr>
        <w:pStyle w:val="bodyA0"/>
        <w:spacing w:line="278" w:lineRule="auto"/>
      </w:pPr>
      <w:r w:rsidRPr="005F5D82">
        <w:t xml:space="preserve">Ngoài các PTNTĐ, </w:t>
      </w:r>
      <w:r>
        <w:t>nhiều</w:t>
      </w:r>
      <w:r w:rsidRPr="005F5D82">
        <w:t xml:space="preserve"> tổ chức KH&amp;CN trong các lĩnh vự</w:t>
      </w:r>
      <w:r>
        <w:t xml:space="preserve">c </w:t>
      </w:r>
      <w:r w:rsidRPr="005F5D82">
        <w:t>khác nhau</w:t>
      </w:r>
      <w:r>
        <w:t xml:space="preserve"> cũng có </w:t>
      </w:r>
      <w:r w:rsidRPr="005F5D82">
        <w:t>các phòng thí nghiệm, trạm thử nghiệm</w:t>
      </w:r>
      <w:r>
        <w:t>…, phục vụ công tác nghiên cứu riêng của mình.</w:t>
      </w:r>
    </w:p>
    <w:p w:rsidR="00A50899" w:rsidRPr="006A00CC" w:rsidRDefault="00320ECA" w:rsidP="00A50899">
      <w:pPr>
        <w:pStyle w:val="111khcnvn"/>
      </w:pPr>
      <w:bookmarkStart w:id="53" w:name="_Toc451518374"/>
      <w:r>
        <w:t>1</w:t>
      </w:r>
      <w:r w:rsidR="00A50899" w:rsidRPr="006A00CC">
        <w:t>.4.2. Khu công nghệ cao</w:t>
      </w:r>
      <w:bookmarkEnd w:id="53"/>
    </w:p>
    <w:p w:rsidR="00320ECA" w:rsidRDefault="00A50899" w:rsidP="00A50899">
      <w:pPr>
        <w:pStyle w:val="bodyA0"/>
        <w:spacing w:line="262" w:lineRule="auto"/>
        <w:rPr>
          <w:bCs/>
          <w:szCs w:val="28"/>
        </w:rPr>
      </w:pPr>
      <w:r w:rsidRPr="00CE02D2">
        <w:rPr>
          <w:noProof/>
        </w:rPr>
        <w:t xml:space="preserve">Các giải pháp thúc đẩy giải phóng mặt bằng và đầu tư tại các khu công nghệ cao quốc gia, khu công nghệ thông tin tập trung, khu nông nghiệp ứng dụng công nghệ cao và hoạt động công nghệ cao được triển khai đồng bộ, hiệu quả. </w:t>
      </w:r>
      <w:r w:rsidRPr="00CE02D2">
        <w:rPr>
          <w:bCs/>
          <w:szCs w:val="28"/>
        </w:rPr>
        <w:t xml:space="preserve">Đến nay, cả nước có 3 khu công nghệ cao quốc gia ở </w:t>
      </w:r>
      <w:r>
        <w:rPr>
          <w:bCs/>
          <w:szCs w:val="28"/>
        </w:rPr>
        <w:t>3</w:t>
      </w:r>
      <w:r w:rsidRPr="00CE02D2">
        <w:rPr>
          <w:bCs/>
          <w:szCs w:val="28"/>
        </w:rPr>
        <w:t xml:space="preserve"> miền: </w:t>
      </w:r>
      <w:r>
        <w:rPr>
          <w:bCs/>
          <w:szCs w:val="28"/>
        </w:rPr>
        <w:t>m</w:t>
      </w:r>
      <w:r w:rsidRPr="00CE02D2">
        <w:rPr>
          <w:bCs/>
          <w:szCs w:val="28"/>
        </w:rPr>
        <w:t>iền</w:t>
      </w:r>
      <w:r>
        <w:rPr>
          <w:bCs/>
          <w:szCs w:val="28"/>
        </w:rPr>
        <w:t xml:space="preserve"> Bắc (Khu C</w:t>
      </w:r>
      <w:r w:rsidRPr="00CE02D2">
        <w:rPr>
          <w:bCs/>
          <w:szCs w:val="28"/>
        </w:rPr>
        <w:t>ông ng</w:t>
      </w:r>
      <w:r>
        <w:rPr>
          <w:bCs/>
          <w:szCs w:val="28"/>
        </w:rPr>
        <w:t>hệ cao Hòa Lạc), miền Nam (Khu C</w:t>
      </w:r>
      <w:r w:rsidRPr="00CE02D2">
        <w:rPr>
          <w:bCs/>
          <w:szCs w:val="28"/>
        </w:rPr>
        <w:t>ông nghệ cao TP. H</w:t>
      </w:r>
      <w:r>
        <w:rPr>
          <w:bCs/>
          <w:szCs w:val="28"/>
        </w:rPr>
        <w:t>ồ Chí Minh) và miền Trung (Khu C</w:t>
      </w:r>
      <w:r w:rsidRPr="00CE02D2">
        <w:rPr>
          <w:bCs/>
          <w:szCs w:val="28"/>
        </w:rPr>
        <w:t xml:space="preserve">ông nghệ cao Đà Nẵng), đã thu hút được 140 dự án đầu tư với tổng vốn trên 7.085 triệu USD, một số dự án đã đi vào hoạt động có hiệu quả; 8 công viên phần mềm tập trung ở các thành phố lớn như TP. Hồ Chí Minh, Đà Nẵng, </w:t>
      </w:r>
    </w:p>
    <w:p w:rsidR="00A50899" w:rsidRPr="00CE02D2" w:rsidRDefault="00A50899" w:rsidP="00A50899">
      <w:pPr>
        <w:pStyle w:val="bodyA0"/>
        <w:spacing w:line="262" w:lineRule="auto"/>
        <w:rPr>
          <w:noProof/>
        </w:rPr>
      </w:pPr>
      <w:r w:rsidRPr="00CE02D2">
        <w:rPr>
          <w:bCs/>
          <w:szCs w:val="28"/>
        </w:rPr>
        <w:t xml:space="preserve">Hà Nội, Hải Phòng, Cần Thơ, Thừa </w:t>
      </w:r>
      <w:r>
        <w:rPr>
          <w:bCs/>
          <w:szCs w:val="28"/>
        </w:rPr>
        <w:t>T</w:t>
      </w:r>
      <w:r w:rsidRPr="00CE02D2">
        <w:rPr>
          <w:bCs/>
          <w:szCs w:val="28"/>
        </w:rPr>
        <w:t>hiên - Huế (hầu hết các công viên phần mềm này được xây dựng và đưa vào hoạt động trong những năm 2003</w:t>
      </w:r>
      <w:r>
        <w:rPr>
          <w:bCs/>
          <w:szCs w:val="28"/>
        </w:rPr>
        <w:t xml:space="preserve"> </w:t>
      </w:r>
      <w:r w:rsidRPr="00CE02D2">
        <w:rPr>
          <w:bCs/>
          <w:szCs w:val="28"/>
        </w:rPr>
        <w:t>-</w:t>
      </w:r>
      <w:r>
        <w:rPr>
          <w:bCs/>
          <w:szCs w:val="28"/>
        </w:rPr>
        <w:t xml:space="preserve"> </w:t>
      </w:r>
      <w:r w:rsidRPr="00CE02D2">
        <w:rPr>
          <w:bCs/>
          <w:szCs w:val="28"/>
        </w:rPr>
        <w:t>2005); 13 khu nông nghiệp ứng dụng công nghệ cao tại các địa phương như TP. Hồ Chí Minh, Hà Nội, Thái Nguyên, Sơn La, Cần Thơ, Hải Phòng, Quảng Ngãi, Phú Yên, Bình Định, Lâm Đồng, Bạc Liêu, Hậu Giang. Các tỉnh, thành phố thuộc các vùng kinh tế trọng điểm đều dự kiến thành lập khu nông nghiệp ứng dụng công nghệ cao trên địa bàn.</w:t>
      </w:r>
    </w:p>
    <w:p w:rsidR="00A50899" w:rsidRPr="00F853AC" w:rsidRDefault="00A50899" w:rsidP="00A50899">
      <w:pPr>
        <w:pStyle w:val="nghieng"/>
      </w:pPr>
      <w:r w:rsidRPr="00F853AC">
        <w:t>Khu C</w:t>
      </w:r>
      <w:r>
        <w:t>ông nghệ cao</w:t>
      </w:r>
      <w:r w:rsidRPr="00F853AC">
        <w:t xml:space="preserve"> Hòa Lạc</w:t>
      </w:r>
    </w:p>
    <w:p w:rsidR="00320ECA" w:rsidRDefault="00A50899" w:rsidP="00A50899">
      <w:pPr>
        <w:pStyle w:val="bodyA0"/>
        <w:rPr>
          <w:spacing w:val="-4"/>
        </w:rPr>
      </w:pPr>
      <w:r w:rsidRPr="00520EA1">
        <w:t>Khu C</w:t>
      </w:r>
      <w:r>
        <w:t>ông nghệ cao</w:t>
      </w:r>
      <w:r w:rsidRPr="00520EA1">
        <w:t xml:space="preserve"> Hòa Lạ</w:t>
      </w:r>
      <w:r>
        <w:t>c với</w:t>
      </w:r>
      <w:r w:rsidRPr="00520EA1">
        <w:t xml:space="preserve"> tổng diện tích 1.586 ha, </w:t>
      </w:r>
      <w:r>
        <w:t xml:space="preserve">nằm trên </w:t>
      </w:r>
      <w:r w:rsidRPr="008624A5">
        <w:rPr>
          <w:spacing w:val="-4"/>
        </w:rPr>
        <w:t xml:space="preserve">địa bàn hai huyện Quốc Oai và Thạch Thất, Hà Nội, được thành lập theo Quyết định số 198/1998/QĐ-TTg ngày 12/10/1998 của Thủ tướng </w:t>
      </w:r>
    </w:p>
    <w:p w:rsidR="00A50899" w:rsidRDefault="00A50899" w:rsidP="00A50899">
      <w:pPr>
        <w:pStyle w:val="bodyA0"/>
      </w:pPr>
      <w:r w:rsidRPr="008624A5">
        <w:rPr>
          <w:spacing w:val="-4"/>
        </w:rPr>
        <w:lastRenderedPageBreak/>
        <w:t>Chính phủ.</w:t>
      </w:r>
      <w:r w:rsidRPr="00520EA1">
        <w:t xml:space="preserve"> </w:t>
      </w:r>
      <w:r>
        <w:t xml:space="preserve">Trong suốt một thời gian dài, công tác giải phóng mặt bằng Khu CNC luôn là điểm “vướng” lớn nhất do khó khăn về nguồn vốn cũng như vướng mắc về cơ chế đền bù, giải tỏa. </w:t>
      </w:r>
    </w:p>
    <w:p w:rsidR="00A50899" w:rsidRDefault="00A50899" w:rsidP="00A50899">
      <w:pPr>
        <w:pStyle w:val="bodyA0"/>
      </w:pPr>
      <w:r w:rsidRPr="006E7577">
        <w:t>Trong năm 2014</w:t>
      </w:r>
      <w:r>
        <w:t xml:space="preserve"> </w:t>
      </w:r>
      <w:r w:rsidRPr="006E7577">
        <w:t>-</w:t>
      </w:r>
      <w:r>
        <w:t xml:space="preserve"> </w:t>
      </w:r>
      <w:r w:rsidRPr="006E7577">
        <w:t xml:space="preserve">2015, Ban quản lý tập trung toàn bộ nhân lực để thực hiện công tác giải phóng mặt bằng đã được bố trí vốn đầu tư xây dựng như: Dự án </w:t>
      </w:r>
      <w:r>
        <w:t>phát triển cơ sở</w:t>
      </w:r>
      <w:r w:rsidRPr="006E7577">
        <w:t xml:space="preserve"> hạ tầng Khu CNC Hoà Lạc (Dự án ODA), dự án Trường Đại học Việt </w:t>
      </w:r>
      <w:r>
        <w:t xml:space="preserve">- </w:t>
      </w:r>
      <w:r w:rsidRPr="006E7577">
        <w:t>Nhật, Dự án Trường Đại học K</w:t>
      </w:r>
      <w:r>
        <w:t>hoa học và công nghệ</w:t>
      </w:r>
      <w:r w:rsidRPr="006E7577">
        <w:t xml:space="preserve"> Hà Nội (Việt</w:t>
      </w:r>
      <w:r>
        <w:t xml:space="preserve"> - </w:t>
      </w:r>
      <w:r w:rsidRPr="006E7577">
        <w:t>Pháp)</w:t>
      </w:r>
      <w:r w:rsidRPr="00CE02D2">
        <w:t>...</w:t>
      </w:r>
      <w:r w:rsidRPr="006E7577">
        <w:t xml:space="preserve"> </w:t>
      </w:r>
    </w:p>
    <w:p w:rsidR="00A50899" w:rsidRPr="00454A79" w:rsidRDefault="00A50899" w:rsidP="00A50899">
      <w:pPr>
        <w:pStyle w:val="bodyA0"/>
        <w:rPr>
          <w:lang w:val="es-PR"/>
        </w:rPr>
      </w:pPr>
      <w:r w:rsidRPr="004F033E">
        <w:t xml:space="preserve">Đến nay, đồ án điều chỉnh quy hoạch chung </w:t>
      </w:r>
      <w:r>
        <w:t>Khu Công nghệ cao Hòa Lạc</w:t>
      </w:r>
      <w:r w:rsidRPr="004F033E">
        <w:t xml:space="preserve"> lần 2 đã được </w:t>
      </w:r>
      <w:r>
        <w:t>Thủ tướng Chính phủ phê duyệt (Quyết định số 899/QĐ-TTg ngày 27/5/2016)</w:t>
      </w:r>
      <w:r w:rsidRPr="004F033E">
        <w:t xml:space="preserve">. </w:t>
      </w:r>
      <w:r w:rsidRPr="004F033E">
        <w:rPr>
          <w:lang w:val="es-PR"/>
        </w:rPr>
        <w:t>Theo kế hoạch đến hết năm 2018 cơ bản hoàn thành công tác giải phóng mặt bằng và hoàn thiện cơ sở hạ tầng</w:t>
      </w:r>
      <w:r>
        <w:rPr>
          <w:lang w:val="es-PR"/>
        </w:rPr>
        <w:t>,</w:t>
      </w:r>
      <w:r w:rsidRPr="004F033E">
        <w:rPr>
          <w:lang w:val="es-PR"/>
        </w:rPr>
        <w:t xml:space="preserve"> do vậy công tác xúc tiến đầu tư sẽ phải đẩy mạnh. Hiện Ban quản lý đang xây dựng lộ trình và kế hoạch xúc tiến đầu tư cho giai đoạn đến năm 2020 và định hướng đến năm 2025. Giai đoạn từ nay đến năm 2020 thực sự là giai đoạn tập trung cho công tác thu hút đầu tư.</w:t>
      </w:r>
    </w:p>
    <w:p w:rsidR="00A50899" w:rsidRPr="006E7577" w:rsidRDefault="00A50899" w:rsidP="00A50899">
      <w:pPr>
        <w:pStyle w:val="bodyA0"/>
        <w:rPr>
          <w:lang w:val="es-PR" w:eastAsia="en-GB"/>
        </w:rPr>
      </w:pPr>
      <w:r w:rsidRPr="006E7577">
        <w:rPr>
          <w:lang w:val="es-PR"/>
        </w:rPr>
        <w:t>Năm</w:t>
      </w:r>
      <w:r w:rsidRPr="006E7577">
        <w:rPr>
          <w:lang w:val="es-PR" w:eastAsia="en-GB"/>
        </w:rPr>
        <w:t xml:space="preserve"> 2015, Ban Quản lý </w:t>
      </w:r>
      <w:r>
        <w:rPr>
          <w:lang w:val="es-PR" w:eastAsia="en-GB"/>
        </w:rPr>
        <w:t>Khu Công nghệ cao Hòa Lạc</w:t>
      </w:r>
      <w:r w:rsidRPr="006E7577">
        <w:rPr>
          <w:lang w:val="es-PR" w:eastAsia="en-GB"/>
        </w:rPr>
        <w:t xml:space="preserve"> đã cấp Giấy chứng nhận đăng ký đầu tư cho 4 dự án mới với tổng vốn đăng ký đầu tư khoảng 326,7 tỷ đồng trên tổng diện tích 2,45 ha. Như vậy, tính đến nay, </w:t>
      </w:r>
      <w:r>
        <w:rPr>
          <w:lang w:val="es-PR" w:eastAsia="en-GB"/>
        </w:rPr>
        <w:t>Khu Công nghệ cao Hòa Lạc</w:t>
      </w:r>
      <w:r w:rsidRPr="006E7577">
        <w:rPr>
          <w:lang w:val="es-PR" w:eastAsia="en-GB"/>
        </w:rPr>
        <w:t xml:space="preserve"> đã có 69 dự án đầu tư với tổng vốn đầu tư đăng ký là 55.395 tỷ đồng trên tổng diện tích 329 ha trong các lĩnh vực sản xuất và kinh doanh phần mềm; công nghệ thông tin; sinh học, y học; điện tử, tự động h</w:t>
      </w:r>
      <w:r>
        <w:rPr>
          <w:lang w:val="es-PR" w:eastAsia="en-GB"/>
        </w:rPr>
        <w:t>óa</w:t>
      </w:r>
      <w:r w:rsidRPr="006E7577">
        <w:rPr>
          <w:lang w:val="es-PR" w:eastAsia="en-GB"/>
        </w:rPr>
        <w:t>, sản xuất thiết bị viễn thông và kinh doanh hạ tầng… Hiện có 32 đơn vị đang hoạt động, 9 đơn vị đang triển khai xây dựng với qua mô lao động đang làm việc tại Khu là trên 10.000 người, xuất  nhập khẩu đạt trên 220 triệu USD.</w:t>
      </w:r>
    </w:p>
    <w:p w:rsidR="00A50899" w:rsidRPr="006E7577" w:rsidRDefault="00A50899" w:rsidP="00A50899">
      <w:pPr>
        <w:pStyle w:val="bodyA0"/>
        <w:rPr>
          <w:lang w:val="es-PR"/>
        </w:rPr>
      </w:pPr>
      <w:r w:rsidRPr="006E7577">
        <w:rPr>
          <w:lang w:val="es-PR"/>
        </w:rPr>
        <w:t>Song song với việc thu hút các dự án đầu tư, Ban Quản lý đã tổ chức kiểm tra, đánh giá</w:t>
      </w:r>
      <w:r>
        <w:rPr>
          <w:lang w:val="es-PR"/>
        </w:rPr>
        <w:t>,</w:t>
      </w:r>
      <w:r w:rsidRPr="006E7577">
        <w:rPr>
          <w:lang w:val="es-PR"/>
        </w:rPr>
        <w:t xml:space="preserve"> rà soát các dự án đã được cấp Giấy chứng nhận đầu tư/Quyết định giao đất để đảm bảo các dự án được triển khai theo đúng mục tiêu, quy mô và tiến độ cam kết, trường hợp các dự án không đáp ứng yêu cầu sẽ tiến hành thu hồi. Đến nay, Ban Quản lý đã thu hồi Giấy chứng nhận đầu tư/Quyết định giao đất của 17 dự án do không có khả năng triển khai hoặc triển khai không theo đúng tiến độ cam kết tại </w:t>
      </w:r>
      <w:r>
        <w:rPr>
          <w:lang w:val="es-PR"/>
        </w:rPr>
        <w:t>Khu Công nghệ cao Hòa Lạc</w:t>
      </w:r>
      <w:r w:rsidRPr="006E7577">
        <w:rPr>
          <w:lang w:val="es-PR"/>
        </w:rPr>
        <w:t xml:space="preserve">. </w:t>
      </w:r>
    </w:p>
    <w:p w:rsidR="00A50899" w:rsidRPr="006E7577" w:rsidRDefault="00A50899" w:rsidP="00A50899">
      <w:pPr>
        <w:pStyle w:val="bodyA0"/>
        <w:rPr>
          <w:lang w:val="es-PR"/>
        </w:rPr>
      </w:pPr>
      <w:r>
        <w:rPr>
          <w:lang w:val="es-PR"/>
        </w:rPr>
        <w:t>Trong hoạt động KH&amp;CN, Khu Công nghệ cao Hòa Lạc</w:t>
      </w:r>
      <w:r w:rsidRPr="006E7577">
        <w:rPr>
          <w:lang w:val="es-PR"/>
        </w:rPr>
        <w:t xml:space="preserve"> </w:t>
      </w:r>
      <w:r>
        <w:rPr>
          <w:lang w:val="es-PR"/>
        </w:rPr>
        <w:t>b</w:t>
      </w:r>
      <w:r w:rsidRPr="006E7577">
        <w:rPr>
          <w:lang w:val="es-PR"/>
        </w:rPr>
        <w:t xml:space="preserve">ước đầu kiện toàn tổ chức, bộ máy về quản lý và triển khai các hoạt động </w:t>
      </w:r>
      <w:r>
        <w:rPr>
          <w:lang w:val="es-PR"/>
        </w:rPr>
        <w:t>KH&amp;CN</w:t>
      </w:r>
      <w:r w:rsidRPr="006E7577">
        <w:rPr>
          <w:lang w:val="es-PR"/>
        </w:rPr>
        <w:t xml:space="preserve">; </w:t>
      </w:r>
      <w:r>
        <w:rPr>
          <w:lang w:val="es-PR"/>
        </w:rPr>
        <w:t>b</w:t>
      </w:r>
      <w:r w:rsidRPr="006E7577">
        <w:rPr>
          <w:lang w:val="es-PR"/>
        </w:rPr>
        <w:t>ổ sung chức năng về giới thiệu, trình diễn và chuyển giao công nghệ cho Trung tâm Dịch vụ Tổng hợp</w:t>
      </w:r>
      <w:r>
        <w:rPr>
          <w:lang w:val="es-PR"/>
        </w:rPr>
        <w:t xml:space="preserve">; </w:t>
      </w:r>
      <w:r w:rsidRPr="006E7577">
        <w:rPr>
          <w:lang w:val="es-PR"/>
        </w:rPr>
        <w:t xml:space="preserve">Nghiên cứu xây dựng định hướng phát triển Khu R&amp;D và Chương trình phát triển tiềm lực KH&amp;CN cho </w:t>
      </w:r>
      <w:r>
        <w:rPr>
          <w:lang w:val="es-PR"/>
        </w:rPr>
        <w:t>Khu Công nghệ cao Hòa Lạc,</w:t>
      </w:r>
      <w:r w:rsidRPr="006E7577">
        <w:rPr>
          <w:lang w:val="es-PR"/>
        </w:rPr>
        <w:t xml:space="preserve"> trong đó trọng tâm nhằm thu hút các cơ sở nghiên cứu, xây dựng hạ tầng kỹ thuật công nghệ cao như các phòng thí nghiệm, kiểm thử, đánh giá, hỗ trợ hoàn thiện công nghệ, </w:t>
      </w:r>
      <w:r>
        <w:rPr>
          <w:lang w:val="es-PR"/>
        </w:rPr>
        <w:t xml:space="preserve">      </w:t>
      </w:r>
      <w:r w:rsidRPr="006E7577">
        <w:rPr>
          <w:lang w:val="es-PR"/>
        </w:rPr>
        <w:t>thúc đẩy hợp tác giữa các đơn vị nghiên cứu - đào tạo - sản xuất công nghệ cao.</w:t>
      </w:r>
    </w:p>
    <w:p w:rsidR="00A50899" w:rsidRPr="00454A79" w:rsidRDefault="00A50899" w:rsidP="00A50899">
      <w:pPr>
        <w:pStyle w:val="bodyA0"/>
        <w:spacing w:line="276" w:lineRule="auto"/>
        <w:rPr>
          <w:lang w:val="es-PR"/>
        </w:rPr>
      </w:pPr>
      <w:r w:rsidRPr="00454A79">
        <w:rPr>
          <w:lang w:val="es-PR"/>
        </w:rPr>
        <w:t>Về công tác ươm tạo, Trung tâm Ươm tạo doanh nghiệp công nghệ cao của Hoà Lạc đã có 37 nhóm đăng ký ươm tạo, trong đó có 10 nhóm đã tốt nghiệp, 4 nhóm hậu ươm tạo và 17 nhóm tiền ươm tạo.</w:t>
      </w:r>
    </w:p>
    <w:p w:rsidR="00A50899" w:rsidRPr="00F853AC" w:rsidRDefault="00A50899" w:rsidP="00A50899">
      <w:pPr>
        <w:pStyle w:val="nghieng"/>
      </w:pPr>
      <w:r w:rsidRPr="00F853AC">
        <w:t xml:space="preserve">Khu </w:t>
      </w:r>
      <w:r w:rsidRPr="00E93E3B">
        <w:rPr>
          <w:i w:val="0"/>
        </w:rPr>
        <w:t>Công nghệ cao TP. Hồ Chí Minh</w:t>
      </w:r>
    </w:p>
    <w:p w:rsidR="00A50899" w:rsidRDefault="00A50899" w:rsidP="00A50899">
      <w:pPr>
        <w:pStyle w:val="bodyA0"/>
      </w:pPr>
      <w:r>
        <w:lastRenderedPageBreak/>
        <w:t>Đây là Khu CNC thứ hai ở Việt Nam, được thành lập theo Quyết định số 145/2002/QĐ-TTg ngày 24/10/2002 của Thủ tướng Chính phủ, với tổng diện tích là 913 ha cho hai giai đoạn.</w:t>
      </w:r>
    </w:p>
    <w:p w:rsidR="00A50899" w:rsidRPr="00CD1D05" w:rsidRDefault="00A50899" w:rsidP="00A50899">
      <w:pPr>
        <w:pStyle w:val="khcnvn"/>
        <w:spacing w:line="262" w:lineRule="auto"/>
        <w:rPr>
          <w:b/>
          <w:sz w:val="24"/>
          <w:lang w:val="pt-BR" w:eastAsia="ja-JP"/>
        </w:rPr>
      </w:pPr>
      <w:r w:rsidRPr="00CD1D05">
        <w:rPr>
          <w:sz w:val="24"/>
        </w:rPr>
        <w:t xml:space="preserve">Sản lượng công nghiệp công nghệ cao tại Khu Công nghệ cao TP. Hồ Chí Minh: tăng nhanh và bền vững trong các năm 2012 - 2015, </w:t>
      </w:r>
      <w:r w:rsidRPr="00CD1D05">
        <w:rPr>
          <w:sz w:val="24"/>
          <w:lang w:val="pt-BR" w:eastAsia="ja-JP"/>
        </w:rPr>
        <w:t>đó là nhờ các sản phẩm chủ lực của khu là sản phẩm công nghệ cao, có tính cạnh tranh toàn cầu. Hàm lượng giá trị tạo từ R&amp;D trong cơ cấu giá trị sản phẩm tăng dần.</w:t>
      </w:r>
    </w:p>
    <w:p w:rsidR="00A50899" w:rsidRPr="00454A79" w:rsidRDefault="00A50899" w:rsidP="00A50899">
      <w:pPr>
        <w:pStyle w:val="bodyA0"/>
        <w:spacing w:line="262" w:lineRule="auto"/>
        <w:rPr>
          <w:spacing w:val="-4"/>
          <w:lang w:val="pt-BR"/>
        </w:rPr>
      </w:pPr>
      <w:r w:rsidRPr="00F853AC">
        <w:t xml:space="preserve">Khu </w:t>
      </w:r>
      <w:r w:rsidRPr="00E93E3B">
        <w:t>Công nghệ cao TP. Hồ Chí Minh</w:t>
      </w:r>
      <w:r w:rsidRPr="00C16FDF">
        <w:rPr>
          <w:spacing w:val="-4"/>
          <w:lang w:val="pt-BR" w:eastAsia="ja-JP"/>
        </w:rPr>
        <w:t xml:space="preserve"> thu hút thành công các tập đoàn, công ty công nghệ vào đầu tư sản xuất sản phẩm công nghệ cao như Intel, Nidec, Jabil, Sonion, Sanofi, Samsung, FPT... Giá trị sản lượng sản xuất </w:t>
      </w:r>
      <w:r>
        <w:rPr>
          <w:spacing w:val="-4"/>
          <w:lang w:val="pt-BR" w:eastAsia="ja-JP"/>
        </w:rPr>
        <w:t>hằng năm</w:t>
      </w:r>
      <w:r w:rsidRPr="00C16FDF">
        <w:rPr>
          <w:spacing w:val="-4"/>
          <w:lang w:val="pt-BR" w:eastAsia="ja-JP"/>
        </w:rPr>
        <w:t xml:space="preserve"> của các doanh nghiệp đã đi vào hoạt động tăng trưởng đều đặn: Năm 2012 đạt trên 2 tỷ USD, năm 2013 là 2,85 tỷ USD</w:t>
      </w:r>
      <w:r>
        <w:rPr>
          <w:spacing w:val="-4"/>
          <w:lang w:val="pt-BR" w:eastAsia="ja-JP"/>
        </w:rPr>
        <w:t>,</w:t>
      </w:r>
      <w:r w:rsidRPr="00C16FDF">
        <w:rPr>
          <w:spacing w:val="-4"/>
          <w:lang w:val="pt-BR" w:eastAsia="ja-JP"/>
        </w:rPr>
        <w:t xml:space="preserve"> năm 2014 đạt 3,15 tỷ USD và năm 2015 đạt 4,7 tỷ USD. Lũy kế từ khi đi vào hoạt động đến cuối năm 2015, </w:t>
      </w:r>
      <w:r w:rsidRPr="00454A79">
        <w:rPr>
          <w:lang w:val="pt-BR"/>
        </w:rPr>
        <w:t>Khu Công nghệ cao TP. Hồ Chí Minh</w:t>
      </w:r>
      <w:r w:rsidRPr="00C16FDF">
        <w:rPr>
          <w:spacing w:val="-4"/>
          <w:lang w:val="pt-BR" w:eastAsia="ja-JP"/>
        </w:rPr>
        <w:t xml:space="preserve"> sản xuất khối lượng hàng hóa đạt gần 15 tỷ USD với tốc độ tăng trưởng sản xuất công nghiệp trung bình khoảng 80%/năm.</w:t>
      </w:r>
    </w:p>
    <w:p w:rsidR="00A50899" w:rsidRPr="00454A79" w:rsidRDefault="00A50899" w:rsidP="00A50899">
      <w:pPr>
        <w:pStyle w:val="bodyA0"/>
        <w:spacing w:line="262" w:lineRule="auto"/>
        <w:rPr>
          <w:lang w:val="vi-VN" w:eastAsia="ja-JP"/>
        </w:rPr>
      </w:pPr>
      <w:r w:rsidRPr="00454A79">
        <w:rPr>
          <w:lang w:val="pt-BR"/>
        </w:rPr>
        <w:t xml:space="preserve">Hoạt động NC&amp;PT, đào tạo, ươm tạo cũng có những kết quả đáng kể. </w:t>
      </w:r>
      <w:r w:rsidRPr="00454A79">
        <w:rPr>
          <w:lang w:val="pt-BR" w:eastAsia="ja-JP"/>
        </w:rPr>
        <w:t>T</w:t>
      </w:r>
      <w:r w:rsidRPr="000E1FB3">
        <w:rPr>
          <w:lang w:val="vi-VN" w:eastAsia="ja-JP"/>
        </w:rPr>
        <w:t xml:space="preserve">rong năm 2015, </w:t>
      </w:r>
      <w:r w:rsidRPr="00454A79">
        <w:rPr>
          <w:lang w:val="pt-BR"/>
        </w:rPr>
        <w:t xml:space="preserve">Khu Công nghệ cao TP. Hồ Chí Minh </w:t>
      </w:r>
      <w:r w:rsidRPr="000E1FB3">
        <w:rPr>
          <w:lang w:val="vi-VN" w:eastAsia="ja-JP"/>
        </w:rPr>
        <w:t xml:space="preserve">tiếp tục </w:t>
      </w:r>
      <w:r w:rsidRPr="00454A79">
        <w:rPr>
          <w:lang w:val="pt-BR" w:eastAsia="ja-JP"/>
        </w:rPr>
        <w:t xml:space="preserve">có kế hoạch </w:t>
      </w:r>
      <w:r w:rsidRPr="000E1FB3">
        <w:rPr>
          <w:lang w:val="vi-VN" w:eastAsia="ja-JP"/>
        </w:rPr>
        <w:t>đầu tư nâng cấp mở rộng phòng thí nghiệm chế tạo vi mạch</w:t>
      </w:r>
      <w:r w:rsidRPr="00454A79">
        <w:rPr>
          <w:lang w:val="pt-BR" w:eastAsia="ja-JP"/>
        </w:rPr>
        <w:t xml:space="preserve"> - </w:t>
      </w:r>
      <w:r w:rsidRPr="000E1FB3">
        <w:rPr>
          <w:lang w:val="vi-VN" w:eastAsia="ja-JP"/>
        </w:rPr>
        <w:t>bán dẫn</w:t>
      </w:r>
      <w:r w:rsidRPr="00454A79">
        <w:rPr>
          <w:lang w:val="pt-BR" w:eastAsia="ja-JP"/>
        </w:rPr>
        <w:t xml:space="preserve">. </w:t>
      </w:r>
      <w:r w:rsidRPr="000E1FB3">
        <w:rPr>
          <w:lang w:eastAsia="ja-JP"/>
        </w:rPr>
        <w:t xml:space="preserve">Trung tâm </w:t>
      </w:r>
      <w:r>
        <w:rPr>
          <w:lang w:eastAsia="ja-JP"/>
        </w:rPr>
        <w:t xml:space="preserve">NC&amp;PT </w:t>
      </w:r>
      <w:r w:rsidRPr="000E1FB3">
        <w:rPr>
          <w:lang w:val="vi-VN" w:eastAsia="ja-JP"/>
        </w:rPr>
        <w:t>đã hợp tác với nhiều doanh nghiệp trong việc xây dựng, triển khai các nhiệm vụ</w:t>
      </w:r>
      <w:r>
        <w:rPr>
          <w:lang w:eastAsia="ja-JP"/>
        </w:rPr>
        <w:t xml:space="preserve"> KH&amp;CN</w:t>
      </w:r>
      <w:r w:rsidRPr="000E1FB3">
        <w:rPr>
          <w:lang w:val="vi-VN" w:eastAsia="ja-JP"/>
        </w:rPr>
        <w:t xml:space="preserve"> gồm các đề tài, dự án sản xuất thử nghiệm, thu hút đầu tư thêm 6 triệu USD cho các phòng thí nghiệm vi mạch bán dẫn, vật liệu nano và cơ khí chính xác, công nghệ sinh học và công nghệ thông tin</w:t>
      </w:r>
      <w:r>
        <w:rPr>
          <w:lang w:eastAsia="ja-JP"/>
        </w:rPr>
        <w:t xml:space="preserve">. </w:t>
      </w:r>
      <w:r w:rsidRPr="000E1FB3">
        <w:rPr>
          <w:lang w:val="vi-VN" w:eastAsia="ja-JP"/>
        </w:rPr>
        <w:t xml:space="preserve">Trung tâm </w:t>
      </w:r>
      <w:r>
        <w:rPr>
          <w:lang w:eastAsia="ja-JP"/>
        </w:rPr>
        <w:t>NC&amp;PT</w:t>
      </w:r>
      <w:r w:rsidRPr="000E1FB3">
        <w:rPr>
          <w:lang w:val="vi-VN" w:eastAsia="ja-JP"/>
        </w:rPr>
        <w:t xml:space="preserve"> đã thực hiện 6 đề tài cấp Bộ, 25 đề tài cấp Sở,</w:t>
      </w:r>
      <w:r>
        <w:rPr>
          <w:lang w:eastAsia="ja-JP"/>
        </w:rPr>
        <w:t xml:space="preserve"> </w:t>
      </w:r>
      <w:r w:rsidRPr="000E1FB3">
        <w:rPr>
          <w:lang w:val="vi-VN" w:eastAsia="ja-JP"/>
        </w:rPr>
        <w:t>66 đề tài nghiên cứu KH</w:t>
      </w:r>
      <w:r>
        <w:rPr>
          <w:lang w:eastAsia="ja-JP"/>
        </w:rPr>
        <w:t>&amp;</w:t>
      </w:r>
      <w:r w:rsidRPr="000E1FB3">
        <w:rPr>
          <w:lang w:val="vi-VN" w:eastAsia="ja-JP"/>
        </w:rPr>
        <w:t>CN cấp Trung tâm</w:t>
      </w:r>
      <w:r>
        <w:rPr>
          <w:lang w:eastAsia="ja-JP"/>
        </w:rPr>
        <w:t>, p</w:t>
      </w:r>
      <w:r w:rsidRPr="000E1FB3">
        <w:rPr>
          <w:lang w:val="vi-VN" w:eastAsia="ja-JP"/>
        </w:rPr>
        <w:t>hối hợp nghiên cứu khoa học với 12 doanh nghiệp. Kết quả sản phẩm chế thử, sản phẩm đưa ra thị trường tăng nhanh trong hai năm 2013</w:t>
      </w:r>
      <w:r w:rsidRPr="00454A79">
        <w:rPr>
          <w:lang w:val="vi-VN" w:eastAsia="ja-JP"/>
        </w:rPr>
        <w:t xml:space="preserve"> </w:t>
      </w:r>
      <w:r w:rsidRPr="000E1FB3">
        <w:rPr>
          <w:lang w:val="vi-VN" w:eastAsia="ja-JP"/>
        </w:rPr>
        <w:t>-</w:t>
      </w:r>
      <w:r w:rsidRPr="00454A79">
        <w:rPr>
          <w:lang w:val="vi-VN" w:eastAsia="ja-JP"/>
        </w:rPr>
        <w:t xml:space="preserve"> </w:t>
      </w:r>
      <w:r w:rsidRPr="000E1FB3">
        <w:rPr>
          <w:lang w:val="vi-VN" w:eastAsia="ja-JP"/>
        </w:rPr>
        <w:t>2015</w:t>
      </w:r>
      <w:r w:rsidRPr="00454A79">
        <w:rPr>
          <w:lang w:val="vi-VN" w:eastAsia="ja-JP"/>
        </w:rPr>
        <w:t xml:space="preserve"> gồm có</w:t>
      </w:r>
      <w:r>
        <w:rPr>
          <w:lang w:val="vi-VN" w:eastAsia="ja-JP"/>
        </w:rPr>
        <w:t xml:space="preserve">: </w:t>
      </w:r>
      <w:r w:rsidRPr="00454A79">
        <w:rPr>
          <w:lang w:val="vi-VN" w:eastAsia="ja-JP"/>
        </w:rPr>
        <w:t>c</w:t>
      </w:r>
      <w:r>
        <w:rPr>
          <w:lang w:val="vi-VN" w:eastAsia="ja-JP"/>
        </w:rPr>
        <w:t>hi</w:t>
      </w:r>
      <w:r w:rsidRPr="000E1FB3">
        <w:rPr>
          <w:lang w:val="vi-VN" w:eastAsia="ja-JP"/>
        </w:rPr>
        <w:t xml:space="preserve">p cảm biến MEMS, mỹ phẩm nano, sản phẩm cơ điện tử. Một số sản phẩm </w:t>
      </w:r>
      <w:r w:rsidRPr="00454A79">
        <w:rPr>
          <w:lang w:val="vi-VN" w:eastAsia="ja-JP"/>
        </w:rPr>
        <w:t>NC&amp;PT</w:t>
      </w:r>
      <w:r w:rsidRPr="000E1FB3">
        <w:rPr>
          <w:lang w:val="vi-VN" w:eastAsia="ja-JP"/>
        </w:rPr>
        <w:t xml:space="preserve"> với công nghệ nổi bật gần đây:</w:t>
      </w:r>
      <w:r w:rsidRPr="00454A79">
        <w:rPr>
          <w:lang w:val="vi-VN" w:eastAsia="ja-JP"/>
        </w:rPr>
        <w:t xml:space="preserve"> ống</w:t>
      </w:r>
      <w:r w:rsidRPr="000E1FB3">
        <w:rPr>
          <w:lang w:val="vi-VN" w:eastAsia="ja-JP"/>
        </w:rPr>
        <w:t xml:space="preserve"> than nano (CNT), giấy than nano (carbon nano bucky paper), siêu tụ điện (super capacitor), kem dưỡng da nano vàng (công ty Moria PV), nano carbonate</w:t>
      </w:r>
      <w:r w:rsidRPr="00454A79">
        <w:rPr>
          <w:lang w:val="vi-VN"/>
        </w:rPr>
        <w:t>...</w:t>
      </w:r>
      <w:r w:rsidRPr="00454A79">
        <w:rPr>
          <w:lang w:val="vi-VN" w:eastAsia="ja-JP"/>
        </w:rPr>
        <w:t xml:space="preserve"> </w:t>
      </w:r>
      <w:r w:rsidRPr="000E1FB3">
        <w:rPr>
          <w:lang w:val="vi-VN" w:eastAsia="ja-JP"/>
        </w:rPr>
        <w:t>linh kiện bán dẫn diode Schottky, FRED, cảm biến sinh học, cảm biến áp suất</w:t>
      </w:r>
      <w:r w:rsidRPr="00454A79">
        <w:rPr>
          <w:lang w:val="vi-VN" w:eastAsia="ja-JP"/>
        </w:rPr>
        <w:t>…</w:t>
      </w:r>
    </w:p>
    <w:p w:rsidR="00A50899" w:rsidRPr="00454A79" w:rsidRDefault="00A50899" w:rsidP="00A50899">
      <w:pPr>
        <w:pStyle w:val="bodyA0"/>
        <w:rPr>
          <w:rFonts w:eastAsia="MS Mincho"/>
          <w:lang w:val="vi-VN" w:eastAsia="ja-JP"/>
        </w:rPr>
      </w:pPr>
      <w:r w:rsidRPr="000E1FB3">
        <w:rPr>
          <w:lang w:val="vi-VN" w:eastAsia="ja-JP"/>
        </w:rPr>
        <w:t xml:space="preserve">Vườn ươm doanh nghiệp </w:t>
      </w:r>
      <w:r w:rsidRPr="00454A79">
        <w:rPr>
          <w:lang w:val="vi-VN" w:eastAsia="ja-JP"/>
        </w:rPr>
        <w:t xml:space="preserve">của </w:t>
      </w:r>
      <w:r w:rsidRPr="00454A79">
        <w:rPr>
          <w:lang w:val="vi-VN"/>
        </w:rPr>
        <w:t>Khu Công nghệ cao TP. Hồ Chí Minh</w:t>
      </w:r>
      <w:r w:rsidRPr="000E1FB3">
        <w:rPr>
          <w:lang w:val="vi-VN" w:eastAsia="ja-JP"/>
        </w:rPr>
        <w:t xml:space="preserve"> đã đạt các kết quả bước đầu khá tốt, khích lệ tăng cường phát triển chức năng ươm tạo công nghệ và doanh nghiệp công nghệ tại </w:t>
      </w:r>
      <w:r w:rsidRPr="00454A79">
        <w:rPr>
          <w:lang w:val="vi-VN" w:eastAsia="ja-JP"/>
        </w:rPr>
        <w:t>đây</w:t>
      </w:r>
      <w:r w:rsidRPr="000E1FB3">
        <w:rPr>
          <w:lang w:val="vi-VN" w:eastAsia="ja-JP"/>
        </w:rPr>
        <w:t xml:space="preserve">. Doanh số các công ty khởi nghiệp, dự án ươm tạo tại Vườn ươm </w:t>
      </w:r>
      <w:r w:rsidRPr="00454A79">
        <w:rPr>
          <w:lang w:val="vi-VN" w:eastAsia="ja-JP"/>
        </w:rPr>
        <w:t xml:space="preserve">doanh nghiệp </w:t>
      </w:r>
      <w:r w:rsidRPr="000E1FB3">
        <w:rPr>
          <w:lang w:val="vi-VN" w:eastAsia="ja-JP"/>
        </w:rPr>
        <w:t>trong năm 2015 đã vượt mốc trên 20 tỷ đồng từ tiền bán sản phẩm và chuyển giao công nghệ. Từ năm 2011 đến nay, Vườn ươm</w:t>
      </w:r>
      <w:r w:rsidRPr="00454A79">
        <w:rPr>
          <w:lang w:val="vi-VN" w:eastAsia="ja-JP"/>
        </w:rPr>
        <w:t xml:space="preserve"> doanh nghiệp</w:t>
      </w:r>
      <w:r w:rsidRPr="000E1FB3">
        <w:rPr>
          <w:lang w:val="vi-VN" w:eastAsia="ja-JP"/>
        </w:rPr>
        <w:t xml:space="preserve"> thực hiện ươm tạo 28 dự án/doanh nghiệp, trong đó có sự tăng nhanh về số lượng và chất lượng, tạo ra việc làm mới cho hơn 250 lao động trong các doanh nghiệp sản xuất sản phẩm công nghệ cao; tổ chức tốt nghiệp cho 4 doanh nghiệp ươm tạo</w:t>
      </w:r>
      <w:r w:rsidRPr="00454A79">
        <w:rPr>
          <w:lang w:val="vi-VN" w:eastAsia="ja-JP"/>
        </w:rPr>
        <w:t>.</w:t>
      </w:r>
    </w:p>
    <w:p w:rsidR="00320ECA" w:rsidRDefault="00A50899" w:rsidP="00A50899">
      <w:pPr>
        <w:pStyle w:val="bodyA0"/>
        <w:rPr>
          <w:lang w:val="vi-VN" w:eastAsia="ja-JP"/>
        </w:rPr>
      </w:pPr>
      <w:r w:rsidRPr="00F853AC">
        <w:t xml:space="preserve">Khu </w:t>
      </w:r>
      <w:r w:rsidRPr="00E93E3B">
        <w:t>Công nghệ cao TP. Hồ Chí Minh</w:t>
      </w:r>
      <w:r w:rsidRPr="000E1FB3">
        <w:rPr>
          <w:lang w:val="vi-VN" w:eastAsia="ja-JP"/>
        </w:rPr>
        <w:t xml:space="preserve"> đã </w:t>
      </w:r>
      <w:r w:rsidRPr="000E1FB3">
        <w:rPr>
          <w:lang w:val="nl-NL" w:eastAsia="ja-JP"/>
        </w:rPr>
        <w:t>là</w:t>
      </w:r>
      <w:r w:rsidRPr="000E1FB3">
        <w:rPr>
          <w:lang w:val="vi-VN" w:eastAsia="ja-JP"/>
        </w:rPr>
        <w:t xml:space="preserve"> thành viên chính thức của Hiệp hội các </w:t>
      </w:r>
      <w:r w:rsidRPr="000E1FB3">
        <w:rPr>
          <w:lang w:val="nl-NL" w:eastAsia="ja-JP"/>
        </w:rPr>
        <w:t>Công viên Khoa học</w:t>
      </w:r>
      <w:r w:rsidRPr="000E1FB3">
        <w:rPr>
          <w:lang w:val="vi-VN" w:eastAsia="ja-JP"/>
        </w:rPr>
        <w:t xml:space="preserve"> thế giới (ISPA), Hiệp hội các </w:t>
      </w:r>
      <w:r w:rsidRPr="000E1FB3">
        <w:rPr>
          <w:lang w:val="nl-NL" w:eastAsia="ja-JP"/>
        </w:rPr>
        <w:t>Công viên Khoa học</w:t>
      </w:r>
      <w:r w:rsidRPr="000E1FB3">
        <w:rPr>
          <w:lang w:val="vi-VN" w:eastAsia="ja-JP"/>
        </w:rPr>
        <w:t xml:space="preserve"> </w:t>
      </w:r>
      <w:r>
        <w:rPr>
          <w:lang w:eastAsia="ja-JP"/>
        </w:rPr>
        <w:t>c</w:t>
      </w:r>
      <w:r w:rsidRPr="000E1FB3">
        <w:rPr>
          <w:lang w:val="vi-VN" w:eastAsia="ja-JP"/>
        </w:rPr>
        <w:t>hâu Á (ASPA). Ngoài ra, Khu CNC đã hình thành được mối quan hệ quốc tế với các tổ chức Amcham, Eurocham, Jetro, Kotra... và các trường đại học lớn như George</w:t>
      </w:r>
      <w:r w:rsidRPr="00454A79">
        <w:rPr>
          <w:lang w:val="vi-VN" w:eastAsia="ja-JP"/>
        </w:rPr>
        <w:t xml:space="preserve"> T</w:t>
      </w:r>
      <w:r w:rsidRPr="000E1FB3">
        <w:rPr>
          <w:lang w:val="vi-VN" w:eastAsia="ja-JP"/>
        </w:rPr>
        <w:t>own, Illinois University</w:t>
      </w:r>
      <w:r>
        <w:rPr>
          <w:lang w:val="vi-VN" w:eastAsia="ja-JP"/>
        </w:rPr>
        <w:t>, Arizona SU (Hoa Kỳ), Sydney (</w:t>
      </w:r>
      <w:r w:rsidRPr="00454A79">
        <w:rPr>
          <w:lang w:val="vi-VN" w:eastAsia="ja-JP"/>
        </w:rPr>
        <w:t>Ô</w:t>
      </w:r>
      <w:r>
        <w:rPr>
          <w:lang w:val="vi-VN" w:eastAsia="ja-JP"/>
        </w:rPr>
        <w:t>xtrâylia</w:t>
      </w:r>
      <w:r w:rsidRPr="000E1FB3">
        <w:rPr>
          <w:lang w:val="vi-VN" w:eastAsia="ja-JP"/>
        </w:rPr>
        <w:t xml:space="preserve">), AIST (Nhật Bản), KIST </w:t>
      </w:r>
    </w:p>
    <w:p w:rsidR="00A50899" w:rsidRPr="00454A79" w:rsidRDefault="00A50899" w:rsidP="00A50899">
      <w:pPr>
        <w:pStyle w:val="bodyA0"/>
        <w:rPr>
          <w:lang w:val="vi-VN"/>
        </w:rPr>
      </w:pPr>
      <w:r w:rsidRPr="000E1FB3">
        <w:rPr>
          <w:lang w:val="vi-VN" w:eastAsia="ja-JP"/>
        </w:rPr>
        <w:t>(Hà</w:t>
      </w:r>
      <w:r>
        <w:rPr>
          <w:lang w:val="vi-VN" w:eastAsia="ja-JP"/>
        </w:rPr>
        <w:t>n Quốc) và UQUAM (Cananđ</w:t>
      </w:r>
      <w:r w:rsidRPr="000E1FB3">
        <w:rPr>
          <w:lang w:val="vi-VN" w:eastAsia="ja-JP"/>
        </w:rPr>
        <w:t>a), các nhà khoa học, doanh nhân người Việt ở nước ngoài…</w:t>
      </w:r>
      <w:r w:rsidRPr="00454A79">
        <w:rPr>
          <w:lang w:val="vi-VN" w:eastAsia="ja-JP"/>
        </w:rPr>
        <w:t xml:space="preserve"> </w:t>
      </w:r>
      <w:r w:rsidRPr="000E1FB3">
        <w:rPr>
          <w:lang w:val="vi-VN" w:eastAsia="ja-JP"/>
        </w:rPr>
        <w:t>tổ chức các hội thảo xúc tiến đầu tư, hội nghị thường niên của Khu CNC</w:t>
      </w:r>
      <w:r w:rsidRPr="00454A79">
        <w:rPr>
          <w:lang w:val="vi-VN" w:eastAsia="ja-JP"/>
        </w:rPr>
        <w:t>, t</w:t>
      </w:r>
      <w:r w:rsidRPr="000E1FB3">
        <w:rPr>
          <w:lang w:val="vi-VN" w:eastAsia="ja-JP"/>
        </w:rPr>
        <w:t xml:space="preserve">húc đẩy dự án </w:t>
      </w:r>
      <w:r w:rsidRPr="000E1FB3">
        <w:rPr>
          <w:lang w:val="vi-VN" w:eastAsia="ja-JP"/>
        </w:rPr>
        <w:lastRenderedPageBreak/>
        <w:t>thành lập Trường Đại học Fulbright (</w:t>
      </w:r>
      <w:r w:rsidRPr="00454A79">
        <w:rPr>
          <w:lang w:val="vi-VN" w:eastAsia="ja-JP"/>
        </w:rPr>
        <w:t>Hoa Kỳ</w:t>
      </w:r>
      <w:r w:rsidRPr="000E1FB3">
        <w:rPr>
          <w:lang w:val="vi-VN" w:eastAsia="ja-JP"/>
        </w:rPr>
        <w:t>) đi vào hoạt động từ năm 2016,…</w:t>
      </w:r>
      <w:r w:rsidRPr="00454A79">
        <w:rPr>
          <w:lang w:val="vi-VN" w:eastAsia="ja-JP"/>
        </w:rPr>
        <w:t xml:space="preserve"> Đ</w:t>
      </w:r>
      <w:r w:rsidRPr="000E1FB3">
        <w:rPr>
          <w:lang w:val="vi-VN" w:eastAsia="ja-JP"/>
        </w:rPr>
        <w:t>ây là những nền tảng thể chế để tăng cường hợp tác quốc tế về KH&amp;CN, đào tạo nhân lực trình độ cao trong giai đoạn tới đây</w:t>
      </w:r>
      <w:r w:rsidRPr="00454A79">
        <w:rPr>
          <w:lang w:val="vi-VN" w:eastAsia="ja-JP"/>
        </w:rPr>
        <w:t>.</w:t>
      </w:r>
    </w:p>
    <w:p w:rsidR="00A50899" w:rsidRPr="00C32BF6" w:rsidRDefault="00A50899" w:rsidP="00A50899">
      <w:pPr>
        <w:pStyle w:val="cham"/>
        <w:numPr>
          <w:ilvl w:val="0"/>
          <w:numId w:val="0"/>
        </w:numPr>
        <w:spacing w:after="80"/>
        <w:ind w:left="2404" w:hanging="1831"/>
        <w:rPr>
          <w:b w:val="0"/>
        </w:rPr>
      </w:pPr>
      <w:r w:rsidRPr="00C32BF6">
        <w:rPr>
          <w:b w:val="0"/>
        </w:rPr>
        <w:t>Khu Công nghệ cao Đà Nẵng</w:t>
      </w:r>
    </w:p>
    <w:p w:rsidR="00320ECA" w:rsidRDefault="00A50899" w:rsidP="00A50899">
      <w:pPr>
        <w:pStyle w:val="bodyA0"/>
        <w:spacing w:before="40"/>
        <w:rPr>
          <w:lang w:val="pt-BR"/>
        </w:rPr>
      </w:pPr>
      <w:r w:rsidRPr="0092033F">
        <w:rPr>
          <w:lang w:val="pt-BR"/>
        </w:rPr>
        <w:t>Khu CNC Đà Nẵng là Khu CNC thứ ba trên cả nước, được thành lập theo Quyết định số 1979/QĐ-TTg ngày 28/10/2010 của Thủ tướng Chính phủ, có diện tích</w:t>
      </w:r>
      <w:r>
        <w:rPr>
          <w:lang w:val="pt-BR"/>
        </w:rPr>
        <w:t xml:space="preserve"> hiện nay</w:t>
      </w:r>
      <w:r w:rsidRPr="0092033F">
        <w:rPr>
          <w:lang w:val="pt-BR"/>
        </w:rPr>
        <w:t xml:space="preserve"> là 1.130 ha. </w:t>
      </w:r>
      <w:r>
        <w:rPr>
          <w:lang w:val="pt-BR"/>
        </w:rPr>
        <w:t xml:space="preserve">Khu CNC Đà Nẵng có </w:t>
      </w:r>
    </w:p>
    <w:p w:rsidR="00A50899" w:rsidRPr="0092033F" w:rsidRDefault="00A50899" w:rsidP="00A50899">
      <w:pPr>
        <w:pStyle w:val="bodyA0"/>
        <w:spacing w:before="40"/>
        <w:rPr>
          <w:lang w:val="pt-BR"/>
        </w:rPr>
      </w:pPr>
      <w:r w:rsidRPr="0092033F">
        <w:rPr>
          <w:lang w:val="pt-BR"/>
        </w:rPr>
        <w:t>7 khu chức năng: Khu sản xuất CNC; khu nghiên cứu - phát triển đào tạo và ươm tạo doanh nghiệp; khu quản lý - hành chính; khu công trình hạ tầng kỹ thuật đầu mối; khu hậu cần</w:t>
      </w:r>
      <w:r>
        <w:rPr>
          <w:lang w:val="pt-BR"/>
        </w:rPr>
        <w:t>;</w:t>
      </w:r>
      <w:r w:rsidRPr="0092033F">
        <w:rPr>
          <w:lang w:val="pt-BR"/>
        </w:rPr>
        <w:t xml:space="preserve"> logistics và dịch vụ CNC; khu phụ trợ; khu ở.</w:t>
      </w:r>
    </w:p>
    <w:p w:rsidR="00A50899" w:rsidRDefault="00A50899" w:rsidP="00A50899">
      <w:pPr>
        <w:pStyle w:val="bodyA0"/>
        <w:spacing w:before="40"/>
        <w:rPr>
          <w:lang w:val="da-DK"/>
        </w:rPr>
      </w:pPr>
      <w:r>
        <w:rPr>
          <w:lang w:val="da-DK"/>
        </w:rPr>
        <w:t>Các lĩnh vực thu hút đầu tư bao gồm:</w:t>
      </w:r>
    </w:p>
    <w:p w:rsidR="00A50899" w:rsidRPr="001F5AC1" w:rsidRDefault="00A50899" w:rsidP="00A50899">
      <w:pPr>
        <w:pStyle w:val="bodyA0"/>
        <w:spacing w:before="40"/>
        <w:rPr>
          <w:spacing w:val="-2"/>
          <w:lang w:val="pt-BR"/>
        </w:rPr>
      </w:pPr>
      <w:r w:rsidRPr="001F5AC1">
        <w:rPr>
          <w:spacing w:val="-2"/>
          <w:lang w:val="pt-BR"/>
        </w:rPr>
        <w:t>- Công nghệ thông tin, truyền thông và công nghệ phần mềm tin học;</w:t>
      </w:r>
    </w:p>
    <w:p w:rsidR="00A50899" w:rsidRDefault="00A50899" w:rsidP="00A50899">
      <w:pPr>
        <w:pStyle w:val="bodyA0"/>
        <w:spacing w:before="40"/>
        <w:rPr>
          <w:lang w:val="pt-BR"/>
        </w:rPr>
      </w:pPr>
      <w:r w:rsidRPr="00FB4DB3">
        <w:rPr>
          <w:lang w:val="pt-BR"/>
        </w:rPr>
        <w:t>- Công nghệ sinh học phục vụ nông nghiệp, thủy sản và y tế</w:t>
      </w:r>
      <w:r>
        <w:rPr>
          <w:lang w:val="pt-BR"/>
        </w:rPr>
        <w:t>;</w:t>
      </w:r>
    </w:p>
    <w:p w:rsidR="00A50899" w:rsidRDefault="00A50899" w:rsidP="00A50899">
      <w:pPr>
        <w:pStyle w:val="bodyA0"/>
        <w:spacing w:before="40"/>
        <w:rPr>
          <w:lang w:val="pt-BR"/>
        </w:rPr>
      </w:pPr>
      <w:r w:rsidRPr="00FB4DB3">
        <w:rPr>
          <w:lang w:val="pt-BR"/>
        </w:rPr>
        <w:t>- Công nghệ vi điện tử, cơ điện tử và quang điện tử, tự động hóa và cơ khí chính xác</w:t>
      </w:r>
      <w:r>
        <w:rPr>
          <w:lang w:val="pt-BR"/>
        </w:rPr>
        <w:t>;</w:t>
      </w:r>
    </w:p>
    <w:p w:rsidR="00A50899" w:rsidRDefault="00A50899" w:rsidP="00A50899">
      <w:pPr>
        <w:pStyle w:val="bodyA0"/>
        <w:spacing w:before="40"/>
        <w:rPr>
          <w:lang w:val="pt-BR"/>
        </w:rPr>
      </w:pPr>
      <w:r w:rsidRPr="00FB4DB3">
        <w:rPr>
          <w:lang w:val="pt-BR"/>
        </w:rPr>
        <w:t>- Công nghệ vật liệu mới, công nghệ nano</w:t>
      </w:r>
      <w:r>
        <w:rPr>
          <w:lang w:val="pt-BR"/>
        </w:rPr>
        <w:t>;</w:t>
      </w:r>
    </w:p>
    <w:p w:rsidR="00A50899" w:rsidRDefault="00A50899" w:rsidP="00A50899">
      <w:pPr>
        <w:pStyle w:val="bodyA0"/>
        <w:spacing w:before="40"/>
        <w:rPr>
          <w:lang w:val="pt-BR"/>
        </w:rPr>
      </w:pPr>
      <w:r w:rsidRPr="00FB4DB3">
        <w:rPr>
          <w:lang w:val="pt-BR"/>
        </w:rPr>
        <w:t>- Công nghệ môi trường, công nghệ năng lượng mới</w:t>
      </w:r>
      <w:r>
        <w:rPr>
          <w:lang w:val="pt-BR"/>
        </w:rPr>
        <w:t>;</w:t>
      </w:r>
    </w:p>
    <w:p w:rsidR="00A50899" w:rsidRDefault="00A50899" w:rsidP="00A50899">
      <w:pPr>
        <w:pStyle w:val="bodyA0"/>
        <w:spacing w:before="40"/>
        <w:rPr>
          <w:lang w:val="pt-BR"/>
        </w:rPr>
      </w:pPr>
      <w:r w:rsidRPr="00FB4DB3">
        <w:rPr>
          <w:lang w:val="pt-BR"/>
        </w:rPr>
        <w:t>- Một số công nghệ đặc biệt khác.</w:t>
      </w:r>
    </w:p>
    <w:p w:rsidR="00A50899" w:rsidRPr="00454A79" w:rsidRDefault="00A50899" w:rsidP="00A50899">
      <w:pPr>
        <w:pStyle w:val="bodyA0"/>
        <w:rPr>
          <w:lang w:val="pt-BR"/>
        </w:rPr>
      </w:pPr>
      <w:r w:rsidRPr="00454A79">
        <w:rPr>
          <w:lang w:val="pt-BR"/>
        </w:rPr>
        <w:t>Đến nay, Khu CNC Đà Nẵng đã hoàn thành giải phóng mặt bằng giai đoạn 1 và đang tích cực triển khai xây dựng cơ sở hạ tầng (với diện tích 328 ha). Các hạng mục thi công như xây dựng các tuyến đường, hạ tầng cấp nước cho Khu CNC, hạ tầng viễn thông, chiếu sáng cũng đã được triển khai. Các dự án quan trọng như nhà máy xử lý nước thải tập trung, nhà máy nước, trung tâm ươm tạo doanh nghiệp CNC đều đang được tích cực gọi vốn đầu tư.</w:t>
      </w:r>
    </w:p>
    <w:p w:rsidR="00A50899" w:rsidRPr="00DD0875" w:rsidRDefault="00A50899" w:rsidP="00A50899">
      <w:pPr>
        <w:pStyle w:val="bodyA0"/>
        <w:rPr>
          <w:lang w:val="nl-NL"/>
        </w:rPr>
      </w:pPr>
      <w:r w:rsidRPr="00454A79">
        <w:rPr>
          <w:lang w:val="pt-BR"/>
        </w:rPr>
        <w:t>Hiện</w:t>
      </w:r>
      <w:r>
        <w:rPr>
          <w:lang w:val="nl-NL"/>
        </w:rPr>
        <w:t xml:space="preserve"> nay đã có</w:t>
      </w:r>
      <w:r w:rsidRPr="00E55935">
        <w:rPr>
          <w:lang w:val="nl-NL"/>
        </w:rPr>
        <w:t xml:space="preserve"> 3 dự án đầu tư vào Khu CNC Đà Nẵng</w:t>
      </w:r>
      <w:r>
        <w:rPr>
          <w:lang w:val="nl-NL"/>
        </w:rPr>
        <w:t xml:space="preserve"> với tổng vốn đầu tư đạt trên 70 triệu USD, trong đó có </w:t>
      </w:r>
      <w:r w:rsidRPr="00E55935">
        <w:rPr>
          <w:lang w:val="nl-NL"/>
        </w:rPr>
        <w:t>2 dự án</w:t>
      </w:r>
      <w:r>
        <w:rPr>
          <w:lang w:val="nl-NL"/>
        </w:rPr>
        <w:t xml:space="preserve"> FDI</w:t>
      </w:r>
      <w:r w:rsidRPr="00E55935">
        <w:rPr>
          <w:lang w:val="nl-NL"/>
        </w:rPr>
        <w:t xml:space="preserve"> sản xuất </w:t>
      </w:r>
      <w:r>
        <w:rPr>
          <w:lang w:val="nl-NL"/>
        </w:rPr>
        <w:t>CNC từ Nhật Bản.</w:t>
      </w:r>
    </w:p>
    <w:p w:rsidR="00A50899" w:rsidRPr="00CE02D2" w:rsidRDefault="00320ECA" w:rsidP="00A50899">
      <w:pPr>
        <w:pStyle w:val="11"/>
      </w:pPr>
      <w:bookmarkStart w:id="54" w:name="_Toc383094188"/>
      <w:bookmarkStart w:id="55" w:name="_Toc451518375"/>
      <w:r>
        <w:t>1</w:t>
      </w:r>
      <w:r w:rsidR="00A50899" w:rsidRPr="00CE02D2">
        <w:t>.5. T</w:t>
      </w:r>
      <w:r w:rsidR="00A50899">
        <w:t>hông tin khoa học và công nghệ</w:t>
      </w:r>
      <w:bookmarkEnd w:id="54"/>
      <w:bookmarkEnd w:id="55"/>
    </w:p>
    <w:p w:rsidR="00A50899" w:rsidRPr="00454A79" w:rsidRDefault="00A50899" w:rsidP="00A50899">
      <w:pPr>
        <w:pStyle w:val="bodyA0"/>
        <w:rPr>
          <w:lang w:val="vi-VN"/>
        </w:rPr>
      </w:pPr>
      <w:r w:rsidRPr="00454A79">
        <w:rPr>
          <w:lang w:val="vi-VN"/>
        </w:rPr>
        <w:t>Cho đến hết năm 2015, cả nước có tổng cộng 334 tạp chí khoa học có Mã số chuẩn quốc tế cho xuất bản phẩm nhiều kỳ (International Standard Serial Number, ISSN) được Hội đồng chức danh giáo sư nhà nước đưa vào danh sách xem xét, tính điểm cho các bài báo được công bố trong đó. Trong số đó, có một tạp chí được xếp vào ISI/SCIE trong tháng 1/2016, sau khi được đưa vào cơ sở dữ liệu Scopus từ năm 2014, là tạp chí Advances in Natural Sciences: Nanoscience and Nanotechnology (ANSN) do Viện Hàn lâm Khoa học và Công nghệ Việt Nam phối hợp với IOP Publishing tại Vương quốc Anh xuất bản.</w:t>
      </w:r>
      <w:r>
        <w:t xml:space="preserve"> Đây là tạp chí đầu tiên của Việt Nam có chỉ số ảnh hưởng (IF - Impact Factor) trên 1,5, đạt chuẩn hàng đầu quốc tế.</w:t>
      </w:r>
      <w:r w:rsidRPr="00454A79">
        <w:rPr>
          <w:lang w:val="vi-VN"/>
        </w:rPr>
        <w:t xml:space="preserve"> Ngoài ra, Việt Nam còn có hai tạp chí (Toán học) được xếp loại </w:t>
      </w:r>
      <w:r>
        <w:t xml:space="preserve">trong CSDL </w:t>
      </w:r>
      <w:r w:rsidRPr="00454A79">
        <w:rPr>
          <w:lang w:val="vi-VN"/>
        </w:rPr>
        <w:t xml:space="preserve">Scopus. Đó là: Acta Mathematica Vietnamica của Viện Toán học từ năm 2011 và Vietnam Journal of Mathematics (Hội Toán học Việt Nam và Viện Hàn lâm Khoa học và Công nghệ Việt Nam) từ </w:t>
      </w:r>
      <w:r>
        <w:t xml:space="preserve">năm </w:t>
      </w:r>
      <w:r w:rsidRPr="00454A79">
        <w:rPr>
          <w:lang w:val="vi-VN"/>
        </w:rPr>
        <w:t>2014.</w:t>
      </w:r>
    </w:p>
    <w:p w:rsidR="00A50899" w:rsidRPr="00454A79" w:rsidRDefault="00A50899" w:rsidP="00A50899">
      <w:pPr>
        <w:pStyle w:val="bodyA0"/>
        <w:rPr>
          <w:rFonts w:ascii="Arial" w:hAnsi="Arial" w:cs="Arial"/>
          <w:color w:val="000000"/>
          <w:sz w:val="20"/>
          <w:szCs w:val="20"/>
          <w:lang w:val="vi-VN"/>
        </w:rPr>
      </w:pPr>
      <w:r w:rsidRPr="00454A79">
        <w:rPr>
          <w:lang w:val="vi-VN"/>
        </w:rPr>
        <w:lastRenderedPageBreak/>
        <w:t>Trong số 334 tạp chí khoa học nói trên chỉ có 26 (0,078%) tạp chí xuất bản toàn phần hoặc một phần bằng tiếng Anh. Như vậy, chưa nói về chất lượng khoa học, chúng ta thấy số lượng các tạp chí</w:t>
      </w:r>
      <w:r w:rsidRPr="00454A79">
        <w:rPr>
          <w:rStyle w:val="apple-converted-space"/>
          <w:color w:val="141823"/>
          <w:szCs w:val="26"/>
          <w:lang w:val="vi-VN"/>
        </w:rPr>
        <w:t> </w:t>
      </w:r>
      <w:r w:rsidRPr="00454A79">
        <w:rPr>
          <w:rStyle w:val="Strong"/>
          <w:b w:val="0"/>
          <w:color w:val="141823"/>
          <w:lang w:val="vi-VN"/>
        </w:rPr>
        <w:t>khoa học</w:t>
      </w:r>
      <w:r w:rsidRPr="00454A79">
        <w:rPr>
          <w:rStyle w:val="apple-converted-space"/>
          <w:color w:val="141823"/>
          <w:szCs w:val="26"/>
          <w:lang w:val="vi-VN"/>
        </w:rPr>
        <w:t> </w:t>
      </w:r>
      <w:r w:rsidRPr="00454A79">
        <w:rPr>
          <w:lang w:val="vi-VN"/>
        </w:rPr>
        <w:t xml:space="preserve">bằng tiếng Anh của chúng ta còn quá ít ỏi. </w:t>
      </w:r>
    </w:p>
    <w:p w:rsidR="00A50899" w:rsidRPr="00CE02D2" w:rsidRDefault="00A50899" w:rsidP="00A50899">
      <w:pPr>
        <w:pStyle w:val="bodyA0"/>
        <w:rPr>
          <w:lang w:val="vi-VN"/>
        </w:rPr>
      </w:pPr>
      <w:r w:rsidRPr="00CE02D2">
        <w:rPr>
          <w:lang w:val="vi-VN"/>
        </w:rPr>
        <w:t>Toàn mạng lưới thông tin KH&amp;CN hiện có trên 5 triệu bản sách KH&amp;CN và truy cập đến hơn 20.000 tạp chí KH&amp;CN</w:t>
      </w:r>
      <w:r w:rsidRPr="00454A79">
        <w:rPr>
          <w:lang w:val="vi-VN"/>
        </w:rPr>
        <w:t xml:space="preserve"> trực tuyến với trên 40 triệu biểu ghi toàn văn</w:t>
      </w:r>
      <w:r w:rsidRPr="00CE02D2">
        <w:rPr>
          <w:lang w:val="vi-VN"/>
        </w:rPr>
        <w:t xml:space="preserve">, trong đó chủ yếu là các tạp chí KH&amp;CN được cung cấp dưới dạng trực tuyến thông qua Mạng VISTA và VinaREN của </w:t>
      </w:r>
      <w:r>
        <w:rPr>
          <w:lang w:val="vi-VN"/>
        </w:rPr>
        <w:t xml:space="preserve">Cục Thông tin khoa học và công nghệ </w:t>
      </w:r>
      <w:r w:rsidRPr="00454A79">
        <w:rPr>
          <w:lang w:val="vi-VN"/>
        </w:rPr>
        <w:t>q</w:t>
      </w:r>
      <w:r>
        <w:rPr>
          <w:lang w:val="vi-VN"/>
        </w:rPr>
        <w:t>uốc gia</w:t>
      </w:r>
      <w:r w:rsidRPr="00CE02D2">
        <w:rPr>
          <w:lang w:val="vi-VN"/>
        </w:rPr>
        <w:t xml:space="preserve">. Để đáp ứng nhu cầu khai thác và chia sẻ thông tin KH&amp;CN trực tuyến, tạp chí Khoa học Việt Nam Trực tuyến (Vietnam Journals Online-VJOL) được duy trì và mở rộng, cho phép độc giả tiếp cận tri thức khoa học được xuất bản tại Việt Nam và nâng cao hiểu biết của thế giới về nền học thuật của Việt Nam. </w:t>
      </w:r>
    </w:p>
    <w:p w:rsidR="00A50899" w:rsidRPr="00CE02D2" w:rsidRDefault="00A50899" w:rsidP="00A50899">
      <w:pPr>
        <w:pStyle w:val="bodyA0"/>
        <w:rPr>
          <w:lang w:val="vi-VN"/>
        </w:rPr>
      </w:pPr>
      <w:r w:rsidRPr="00CE02D2">
        <w:rPr>
          <w:lang w:val="vi-VN"/>
        </w:rPr>
        <w:t xml:space="preserve">Nguồn tin điện tử tiếp tục được đầu tư phát triển mạnh mẽ từ các CSDL trong nước đến các CSDL hàng đầu thế giới như: CSDL Science Direct, Proquest Central, Web of Science, IEEE, APS, Primo Central Index, IOP Science, Springer eJournals,… đang là những sản phẩm thông tin được cộng đồng người dùng tin đánh giá cao. Theo số liệu thống kê, hiện cả nước có khoảng trên 1.000 CSDL được các cơ quan thông tin KH&amp;CN xây dựng, trong đó có khoảng gần 10% CSDL có số lượng biểu ghi từ 10.000 trở lên. Đặc biệt, có một số CSDL lớn có số lượng hàng trăm nghìn biểu ghi như CSDL Tài liệu khoa học và công nghệ Việt Nam (STD) với trên </w:t>
      </w:r>
      <w:r w:rsidRPr="00454A79">
        <w:rPr>
          <w:lang w:val="vi-VN"/>
        </w:rPr>
        <w:t>20</w:t>
      </w:r>
      <w:r w:rsidRPr="00CE02D2">
        <w:rPr>
          <w:lang w:val="vi-VN"/>
        </w:rPr>
        <w:t xml:space="preserve">0.000 biểu ghi cho phép truy cập </w:t>
      </w:r>
      <w:r w:rsidRPr="00454A79">
        <w:rPr>
          <w:lang w:val="vi-VN"/>
        </w:rPr>
        <w:t xml:space="preserve">tới </w:t>
      </w:r>
      <w:r w:rsidRPr="00CE02D2">
        <w:rPr>
          <w:lang w:val="vi-VN"/>
        </w:rPr>
        <w:t xml:space="preserve">tài liệu toàn văn, CSDL Sách </w:t>
      </w:r>
      <w:r w:rsidRPr="00454A79">
        <w:rPr>
          <w:lang w:val="vi-VN"/>
        </w:rPr>
        <w:t>KH&amp;CN</w:t>
      </w:r>
      <w:r w:rsidRPr="00CE02D2">
        <w:rPr>
          <w:lang w:val="vi-VN"/>
        </w:rPr>
        <w:t xml:space="preserve"> với gần 170.000 biểu ghi thư mục phản ánh phần lớn kho sách của Thư viện K</w:t>
      </w:r>
      <w:r w:rsidRPr="00454A79">
        <w:rPr>
          <w:lang w:val="vi-VN"/>
        </w:rPr>
        <w:t xml:space="preserve">hoa học và Công nghệ </w:t>
      </w:r>
      <w:r w:rsidRPr="00CE02D2">
        <w:rPr>
          <w:lang w:val="vi-VN"/>
        </w:rPr>
        <w:t>Quốc gia</w:t>
      </w:r>
      <w:r w:rsidRPr="00454A79">
        <w:rPr>
          <w:lang w:val="vi-VN"/>
        </w:rPr>
        <w:t>.</w:t>
      </w:r>
    </w:p>
    <w:p w:rsidR="0094709F" w:rsidRDefault="0094709F"/>
    <w:sectPr w:rsidR="0094709F">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6BC" w:rsidRDefault="008A16BC" w:rsidP="00A50899">
      <w:r>
        <w:separator/>
      </w:r>
    </w:p>
  </w:endnote>
  <w:endnote w:type="continuationSeparator" w:id="0">
    <w:p w:rsidR="008A16BC" w:rsidRDefault="008A16BC" w:rsidP="00A5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nCentury Schoolbook">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Arial">
    <w:altName w:val="Courier New"/>
    <w:charset w:val="00"/>
    <w:family w:val="swiss"/>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618972"/>
      <w:docPartObj>
        <w:docPartGallery w:val="Page Numbers (Bottom of Page)"/>
        <w:docPartUnique/>
      </w:docPartObj>
    </w:sdtPr>
    <w:sdtEndPr>
      <w:rPr>
        <w:noProof/>
      </w:rPr>
    </w:sdtEndPr>
    <w:sdtContent>
      <w:p w:rsidR="00A50899" w:rsidRDefault="00A50899">
        <w:pPr>
          <w:pStyle w:val="Footer"/>
          <w:jc w:val="center"/>
        </w:pPr>
        <w:r>
          <w:fldChar w:fldCharType="begin"/>
        </w:r>
        <w:r>
          <w:instrText xml:space="preserve"> PAGE   \* MERGEFORMAT </w:instrText>
        </w:r>
        <w:r>
          <w:fldChar w:fldCharType="separate"/>
        </w:r>
        <w:r w:rsidR="003A2420">
          <w:rPr>
            <w:noProof/>
          </w:rPr>
          <w:t>24</w:t>
        </w:r>
        <w:r>
          <w:rPr>
            <w:noProof/>
          </w:rPr>
          <w:fldChar w:fldCharType="end"/>
        </w:r>
      </w:p>
    </w:sdtContent>
  </w:sdt>
  <w:p w:rsidR="00A50899" w:rsidRDefault="00A50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6BC" w:rsidRDefault="008A16BC" w:rsidP="00A50899">
      <w:r>
        <w:separator/>
      </w:r>
    </w:p>
  </w:footnote>
  <w:footnote w:type="continuationSeparator" w:id="0">
    <w:p w:rsidR="008A16BC" w:rsidRDefault="008A16BC" w:rsidP="00A50899">
      <w:r>
        <w:continuationSeparator/>
      </w:r>
    </w:p>
  </w:footnote>
  <w:footnote w:id="1">
    <w:p w:rsidR="00A50899" w:rsidRDefault="00A50899" w:rsidP="00A50899">
      <w:pPr>
        <w:pStyle w:val="FootnoteText"/>
      </w:pPr>
      <w:r w:rsidRPr="00745E78">
        <w:rPr>
          <w:vertAlign w:val="superscript"/>
        </w:rPr>
        <w:t>(</w:t>
      </w:r>
      <w:r w:rsidRPr="00745E78">
        <w:rPr>
          <w:rStyle w:val="FootnoteReference"/>
        </w:rPr>
        <w:footnoteRef/>
      </w:r>
      <w:r w:rsidRPr="00745E78">
        <w:rPr>
          <w:vertAlign w:val="superscript"/>
        </w:rPr>
        <w:t>)</w:t>
      </w:r>
      <w:r>
        <w:t xml:space="preserve"> </w:t>
      </w:r>
      <w:r w:rsidRPr="00A269CE">
        <w:rPr>
          <w:spacing w:val="-4"/>
          <w:lang w:val="en-GB"/>
        </w:rPr>
        <w:t>Ranking WEB of Universities:</w:t>
      </w:r>
      <w:r w:rsidRPr="00A5591F">
        <w:rPr>
          <w:color w:val="000000"/>
          <w:spacing w:val="-4"/>
          <w:lang w:val="en-GB"/>
        </w:rPr>
        <w:t xml:space="preserve"> </w:t>
      </w:r>
      <w:hyperlink r:id="rId1" w:history="1">
        <w:r w:rsidRPr="00A5591F">
          <w:rPr>
            <w:rStyle w:val="Hyperlink"/>
            <w:color w:val="000000"/>
            <w:spacing w:val="-4"/>
            <w:u w:val="none"/>
            <w:lang w:val="en-GB"/>
          </w:rPr>
          <w:t>http://www.webometrics.info/en/Asia?page=13</w:t>
        </w:r>
      </w:hyperlink>
      <w:r w:rsidRPr="00A269CE">
        <w:rPr>
          <w:spacing w:val="-4"/>
          <w:lang w:val="en-GB"/>
        </w:rPr>
        <w:t xml:space="preserve"> and 89</w:t>
      </w:r>
    </w:p>
  </w:footnote>
  <w:footnote w:id="2">
    <w:p w:rsidR="00A50899" w:rsidRDefault="00A50899" w:rsidP="00A50899">
      <w:pPr>
        <w:pStyle w:val="FootnoteText"/>
      </w:pPr>
      <w:r w:rsidRPr="00745E78">
        <w:rPr>
          <w:vertAlign w:val="superscript"/>
        </w:rPr>
        <w:t>(</w:t>
      </w:r>
      <w:r w:rsidRPr="00745E78">
        <w:rPr>
          <w:rStyle w:val="FootnoteReference"/>
        </w:rPr>
        <w:footnoteRef/>
      </w:r>
      <w:r w:rsidRPr="00745E78">
        <w:rPr>
          <w:vertAlign w:val="superscript"/>
        </w:rPr>
        <w:t>)</w:t>
      </w:r>
      <w:r>
        <w:t xml:space="preserve"> </w:t>
      </w:r>
      <w:r>
        <w:rPr>
          <w:lang w:val="en-GB"/>
        </w:rPr>
        <w:t xml:space="preserve">Tổ chức </w:t>
      </w:r>
      <w:r>
        <w:t xml:space="preserve">Cybermetrics Lab; Phương pháp luận xếp hạng các đại học: </w:t>
      </w:r>
      <w:hyperlink r:id="rId2" w:history="1">
        <w:r w:rsidRPr="00A5591F">
          <w:rPr>
            <w:rStyle w:val="Hyperlink"/>
            <w:color w:val="000000"/>
            <w:u w:val="none"/>
          </w:rPr>
          <w:t>http://www.webometrics.</w:t>
        </w:r>
        <w:r w:rsidRPr="00A5591F">
          <w:rPr>
            <w:rStyle w:val="Hyperlink"/>
            <w:color w:val="000000"/>
            <w:u w:val="none"/>
          </w:rPr>
          <w:t>i</w:t>
        </w:r>
        <w:r w:rsidRPr="00A5591F">
          <w:rPr>
            <w:rStyle w:val="Hyperlink"/>
            <w:color w:val="000000"/>
            <w:u w:val="none"/>
          </w:rPr>
          <w:t>nfo/</w:t>
        </w:r>
      </w:hyperlink>
      <w:r w:rsidRPr="00A5591F">
        <w:rPr>
          <w:color w:val="000000"/>
        </w:rPr>
        <w:t>e</w:t>
      </w:r>
      <w:r w:rsidRPr="001B038C">
        <w:t>n/Methodology</w:t>
      </w:r>
    </w:p>
  </w:footnote>
  <w:footnote w:id="3">
    <w:p w:rsidR="00A50899" w:rsidRPr="00186810" w:rsidRDefault="00A50899" w:rsidP="00A50899">
      <w:pPr>
        <w:pStyle w:val="khcnvn"/>
        <w:spacing w:line="264" w:lineRule="auto"/>
        <w:ind w:firstLine="0"/>
        <w:rPr>
          <w:sz w:val="20"/>
          <w:szCs w:val="20"/>
        </w:rPr>
      </w:pPr>
      <w:r w:rsidRPr="00186810">
        <w:rPr>
          <w:sz w:val="20"/>
          <w:szCs w:val="20"/>
          <w:vertAlign w:val="superscript"/>
        </w:rPr>
        <w:t>(</w:t>
      </w:r>
      <w:r w:rsidRPr="00186810">
        <w:rPr>
          <w:rStyle w:val="FootnoteReference"/>
          <w:sz w:val="20"/>
          <w:szCs w:val="20"/>
        </w:rPr>
        <w:footnoteRef/>
      </w:r>
      <w:r w:rsidRPr="00186810">
        <w:rPr>
          <w:sz w:val="20"/>
          <w:szCs w:val="20"/>
          <w:vertAlign w:val="superscript"/>
        </w:rPr>
        <w:t>)</w:t>
      </w:r>
      <w:r w:rsidRPr="00186810">
        <w:rPr>
          <w:sz w:val="20"/>
          <w:szCs w:val="20"/>
        </w:rPr>
        <w:t xml:space="preserve"> </w:t>
      </w:r>
      <w:r w:rsidRPr="00186810">
        <w:rPr>
          <w:noProof/>
          <w:sz w:val="20"/>
          <w:szCs w:val="20"/>
        </w:rPr>
        <w:t xml:space="preserve">Để tính số nhân lực </w:t>
      </w:r>
      <w:r w:rsidRPr="00186810">
        <w:rPr>
          <w:noProof/>
          <w:sz w:val="20"/>
          <w:szCs w:val="20"/>
          <w:lang w:val="vi-VN"/>
        </w:rPr>
        <w:t>NC&amp;PT, nhất là để tính toán và so sánh quốc tế về cán bộ nghiên cứu (CBNC)</w:t>
      </w:r>
      <w:r w:rsidRPr="00186810">
        <w:rPr>
          <w:noProof/>
          <w:sz w:val="20"/>
          <w:szCs w:val="20"/>
        </w:rPr>
        <w:t>, có hai cách được sử dụng: Số nhân lực tính theo đầu người (headcount) và số nhân lực quy đổi tương đương toàn thời gian</w:t>
      </w:r>
      <w:r w:rsidRPr="00186810">
        <w:rPr>
          <w:noProof/>
          <w:sz w:val="20"/>
          <w:szCs w:val="20"/>
          <w:lang w:val="vi-VN"/>
        </w:rPr>
        <w:t xml:space="preserve"> (</w:t>
      </w:r>
      <w:r w:rsidRPr="00186810">
        <w:rPr>
          <w:sz w:val="20"/>
          <w:szCs w:val="20"/>
        </w:rPr>
        <w:t>Full-time Equivalent</w:t>
      </w:r>
      <w:r w:rsidRPr="00186810">
        <w:rPr>
          <w:sz w:val="20"/>
          <w:szCs w:val="20"/>
          <w:lang w:val="vi-VN"/>
        </w:rPr>
        <w:t>, viết tắt là</w:t>
      </w:r>
      <w:r w:rsidRPr="00186810">
        <w:rPr>
          <w:sz w:val="20"/>
          <w:szCs w:val="20"/>
        </w:rPr>
        <w:t xml:space="preserve"> FTE</w:t>
      </w:r>
      <w:r w:rsidRPr="00186810">
        <w:rPr>
          <w:sz w:val="20"/>
          <w:szCs w:val="20"/>
          <w:lang w:val="vi-VN"/>
        </w:rPr>
        <w:t>)</w:t>
      </w:r>
      <w:r w:rsidRPr="00186810">
        <w:rPr>
          <w:noProof/>
          <w:sz w:val="20"/>
          <w:szCs w:val="20"/>
        </w:rPr>
        <w:t xml:space="preserve">. </w:t>
      </w:r>
      <w:r w:rsidRPr="00186810">
        <w:rPr>
          <w:sz w:val="20"/>
          <w:szCs w:val="20"/>
        </w:rPr>
        <w:t xml:space="preserve">Theo </w:t>
      </w:r>
      <w:r w:rsidRPr="00186810">
        <w:rPr>
          <w:sz w:val="20"/>
          <w:szCs w:val="20"/>
          <w:lang w:val="vi-VN"/>
        </w:rPr>
        <w:t>thông lệ quốc tế,</w:t>
      </w:r>
      <w:r w:rsidRPr="00186810">
        <w:rPr>
          <w:sz w:val="20"/>
          <w:szCs w:val="20"/>
        </w:rPr>
        <w:t xml:space="preserve"> </w:t>
      </w:r>
      <w:r w:rsidRPr="00186810">
        <w:rPr>
          <w:sz w:val="20"/>
          <w:szCs w:val="20"/>
          <w:lang w:val="vi-VN"/>
        </w:rPr>
        <w:t>một CBNC tương đương t</w:t>
      </w:r>
      <w:r w:rsidRPr="00186810">
        <w:rPr>
          <w:sz w:val="20"/>
          <w:szCs w:val="20"/>
        </w:rPr>
        <w:t xml:space="preserve">oàn thời gian </w:t>
      </w:r>
      <w:r w:rsidRPr="00186810">
        <w:rPr>
          <w:sz w:val="20"/>
          <w:szCs w:val="20"/>
          <w:lang w:val="vi-VN"/>
        </w:rPr>
        <w:t>(hay còn gọi 1 CBNC FTE hoặc tương đương 1 CBNC-năm)</w:t>
      </w:r>
      <w:r w:rsidRPr="00186810">
        <w:rPr>
          <w:sz w:val="20"/>
          <w:szCs w:val="20"/>
        </w:rPr>
        <w:t xml:space="preserve">  là </w:t>
      </w:r>
      <w:r w:rsidRPr="00186810">
        <w:rPr>
          <w:sz w:val="20"/>
          <w:szCs w:val="20"/>
          <w:lang w:val="vi-VN"/>
        </w:rPr>
        <w:t>một</w:t>
      </w:r>
      <w:r w:rsidRPr="00186810">
        <w:rPr>
          <w:sz w:val="20"/>
          <w:szCs w:val="20"/>
        </w:rPr>
        <w:t xml:space="preserve"> </w:t>
      </w:r>
      <w:r w:rsidRPr="00186810">
        <w:rPr>
          <w:sz w:val="20"/>
          <w:szCs w:val="20"/>
          <w:lang w:val="vi-VN"/>
        </w:rPr>
        <w:t>CBNC</w:t>
      </w:r>
      <w:r w:rsidRPr="00186810">
        <w:rPr>
          <w:sz w:val="20"/>
          <w:szCs w:val="20"/>
        </w:rPr>
        <w:t xml:space="preserve"> dành </w:t>
      </w:r>
      <w:r w:rsidRPr="00186810">
        <w:rPr>
          <w:sz w:val="20"/>
          <w:szCs w:val="20"/>
          <w:lang w:val="vi-VN"/>
        </w:rPr>
        <w:t xml:space="preserve">toàn bộ </w:t>
      </w:r>
      <w:r w:rsidRPr="00186810">
        <w:rPr>
          <w:sz w:val="20"/>
          <w:szCs w:val="20"/>
        </w:rPr>
        <w:t xml:space="preserve">thời gian làm việc của mình cho hoạt động </w:t>
      </w:r>
      <w:r w:rsidRPr="00186810">
        <w:rPr>
          <w:sz w:val="20"/>
          <w:szCs w:val="20"/>
          <w:lang w:val="vi-VN"/>
        </w:rPr>
        <w:t xml:space="preserve">NC&amp;PT trong một năm, hoặc </w:t>
      </w:r>
      <w:r w:rsidRPr="00186810">
        <w:rPr>
          <w:sz w:val="20"/>
          <w:szCs w:val="20"/>
        </w:rPr>
        <w:t xml:space="preserve">nhiều </w:t>
      </w:r>
      <w:r w:rsidRPr="00186810">
        <w:rPr>
          <w:sz w:val="20"/>
          <w:szCs w:val="20"/>
          <w:lang w:val="vi-VN"/>
        </w:rPr>
        <w:t>CBNC</w:t>
      </w:r>
      <w:r w:rsidRPr="00186810">
        <w:rPr>
          <w:sz w:val="20"/>
          <w:szCs w:val="20"/>
        </w:rPr>
        <w:t xml:space="preserve"> làm việc theo hình thức bán thời gian hoặc làm việc một giai đoạn ngắn hơn cộng lại tương đương với một </w:t>
      </w:r>
      <w:r w:rsidRPr="00186810">
        <w:rPr>
          <w:sz w:val="20"/>
          <w:szCs w:val="20"/>
          <w:lang w:val="vi-VN"/>
        </w:rPr>
        <w:t>CBNC</w:t>
      </w:r>
      <w:r>
        <w:rPr>
          <w:sz w:val="20"/>
          <w:szCs w:val="20"/>
        </w:rPr>
        <w:t xml:space="preserve"> </w:t>
      </w:r>
      <w:r w:rsidRPr="00186810">
        <w:rPr>
          <w:sz w:val="20"/>
          <w:szCs w:val="20"/>
        </w:rPr>
        <w:t>-</w:t>
      </w:r>
      <w:r>
        <w:rPr>
          <w:sz w:val="20"/>
          <w:szCs w:val="20"/>
        </w:rPr>
        <w:t xml:space="preserve"> </w:t>
      </w:r>
      <w:r w:rsidRPr="00186810">
        <w:rPr>
          <w:sz w:val="20"/>
          <w:szCs w:val="20"/>
        </w:rPr>
        <w:t>năm. Lượng thời gian làm việc được coi là toàn thời gian</w:t>
      </w:r>
      <w:r w:rsidRPr="00186810">
        <w:rPr>
          <w:sz w:val="20"/>
          <w:szCs w:val="20"/>
          <w:lang w:val="vi-VN"/>
        </w:rPr>
        <w:t>,</w:t>
      </w:r>
      <w:r w:rsidRPr="00186810">
        <w:rPr>
          <w:sz w:val="20"/>
          <w:szCs w:val="20"/>
        </w:rPr>
        <w:t xml:space="preserve"> </w:t>
      </w:r>
      <w:r w:rsidRPr="00186810">
        <w:rPr>
          <w:sz w:val="20"/>
          <w:szCs w:val="20"/>
          <w:lang w:val="vi-VN"/>
        </w:rPr>
        <w:t xml:space="preserve">theo </w:t>
      </w:r>
      <w:r w:rsidRPr="00186810">
        <w:rPr>
          <w:noProof/>
          <w:sz w:val="20"/>
          <w:szCs w:val="20"/>
        </w:rPr>
        <w:t>Bộ luật Lao động 2012 của Việt Nam</w:t>
      </w:r>
      <w:r w:rsidRPr="00186810">
        <w:rPr>
          <w:noProof/>
          <w:sz w:val="20"/>
          <w:szCs w:val="20"/>
          <w:lang w:val="vi-VN"/>
        </w:rPr>
        <w:t xml:space="preserve">, </w:t>
      </w:r>
      <w:r w:rsidRPr="00186810">
        <w:rPr>
          <w:sz w:val="20"/>
          <w:szCs w:val="20"/>
          <w:lang w:val="vi-VN"/>
        </w:rPr>
        <w:t>tương đương</w:t>
      </w:r>
      <w:r w:rsidRPr="00186810">
        <w:rPr>
          <w:sz w:val="20"/>
          <w:szCs w:val="20"/>
        </w:rPr>
        <w:t xml:space="preserve"> mức </w:t>
      </w:r>
      <w:r w:rsidRPr="00186810">
        <w:rPr>
          <w:sz w:val="20"/>
          <w:szCs w:val="20"/>
          <w:lang w:val="vi-VN"/>
        </w:rPr>
        <w:t>1920</w:t>
      </w:r>
      <w:r w:rsidRPr="00186810">
        <w:rPr>
          <w:sz w:val="20"/>
          <w:szCs w:val="20"/>
        </w:rPr>
        <w:t xml:space="preserve"> giờ/</w:t>
      </w:r>
      <w:r w:rsidRPr="00186810">
        <w:rPr>
          <w:sz w:val="20"/>
          <w:szCs w:val="20"/>
          <w:lang w:val="vi-VN"/>
        </w:rPr>
        <w:t xml:space="preserve">năm </w:t>
      </w:r>
      <w:r w:rsidRPr="00186810">
        <w:rPr>
          <w:sz w:val="20"/>
          <w:szCs w:val="20"/>
        </w:rPr>
        <w:t xml:space="preserve">(hoặc 8 giờ/ngày x </w:t>
      </w:r>
      <w:r w:rsidRPr="00186810">
        <w:rPr>
          <w:sz w:val="20"/>
          <w:szCs w:val="20"/>
          <w:lang w:val="vi-VN"/>
        </w:rPr>
        <w:t>240</w:t>
      </w:r>
      <w:r w:rsidRPr="00186810">
        <w:rPr>
          <w:sz w:val="20"/>
          <w:szCs w:val="20"/>
        </w:rPr>
        <w:t xml:space="preserve"> ngày làm việc/</w:t>
      </w:r>
      <w:r w:rsidRPr="00186810">
        <w:rPr>
          <w:sz w:val="20"/>
          <w:szCs w:val="20"/>
          <w:lang w:val="vi-VN"/>
        </w:rPr>
        <w:t>năm</w:t>
      </w:r>
      <w:r w:rsidRPr="00186810">
        <w:rPr>
          <w:sz w:val="20"/>
          <w:szCs w:val="20"/>
        </w:rPr>
        <w:t>).</w:t>
      </w:r>
    </w:p>
  </w:footnote>
  <w:footnote w:id="4">
    <w:p w:rsidR="00A50899" w:rsidRDefault="00A50899" w:rsidP="00A50899">
      <w:pPr>
        <w:pStyle w:val="FootnoteText"/>
        <w:jc w:val="both"/>
      </w:pPr>
      <w:r w:rsidRPr="00C90593">
        <w:rPr>
          <w:vertAlign w:val="superscript"/>
        </w:rPr>
        <w:t>(</w:t>
      </w:r>
      <w:r w:rsidRPr="00C90593">
        <w:rPr>
          <w:rStyle w:val="FootnoteReference"/>
        </w:rPr>
        <w:footnoteRef/>
      </w:r>
      <w:r w:rsidRPr="00C90593">
        <w:rPr>
          <w:vertAlign w:val="superscript"/>
        </w:rPr>
        <w:t>)</w:t>
      </w:r>
      <w:r>
        <w:t xml:space="preserve"> </w:t>
      </w:r>
      <w:r>
        <w:rPr>
          <w:lang w:val="en-GB"/>
        </w:rPr>
        <w:t>Đề tài (2014): Nghiên cứu và ứng dụng phương pháp luận của OECD trong việc xác định chỉ tiêu nhân lực toàn thời tương đương (FTE), Cục Thông tin khoa học và công nghệ Quốc gia.</w:t>
      </w:r>
    </w:p>
  </w:footnote>
  <w:footnote w:id="5">
    <w:p w:rsidR="00A50899" w:rsidRDefault="00A50899" w:rsidP="00A50899">
      <w:pPr>
        <w:pStyle w:val="FootnoteText"/>
        <w:rPr>
          <w:lang w:val="en-GB"/>
        </w:rPr>
      </w:pPr>
      <w:r w:rsidRPr="00C40F21">
        <w:rPr>
          <w:vertAlign w:val="superscript"/>
          <w:lang w:val="en-GB"/>
        </w:rPr>
        <w:t>(</w:t>
      </w:r>
      <w:r w:rsidRPr="00C40F21">
        <w:rPr>
          <w:rStyle w:val="FootnoteReference"/>
        </w:rPr>
        <w:footnoteRef/>
      </w:r>
      <w:r w:rsidRPr="00C40F21">
        <w:rPr>
          <w:vertAlign w:val="superscript"/>
          <w:lang w:val="en-GB"/>
        </w:rPr>
        <w:t>)</w:t>
      </w:r>
      <w:r>
        <w:rPr>
          <w:lang w:val="en-GB"/>
        </w:rPr>
        <w:t xml:space="preserve"> Khoa học và Công nghệ Việt Nam 2014, Bộ Khoa học và Công nghệ (trang 83-85).</w:t>
      </w:r>
    </w:p>
  </w:footnote>
  <w:footnote w:id="6">
    <w:p w:rsidR="00A50899" w:rsidRDefault="00A50899" w:rsidP="00A50899">
      <w:pPr>
        <w:pStyle w:val="FootnoteText"/>
      </w:pPr>
      <w:r w:rsidRPr="00D57316">
        <w:rPr>
          <w:vertAlign w:val="superscript"/>
        </w:rPr>
        <w:t>(</w:t>
      </w:r>
      <w:r w:rsidRPr="00D57316">
        <w:rPr>
          <w:rStyle w:val="FootnoteReference"/>
        </w:rPr>
        <w:footnoteRef/>
      </w:r>
      <w:r w:rsidRPr="00D57316">
        <w:rPr>
          <w:vertAlign w:val="superscript"/>
        </w:rPr>
        <w:t>)</w:t>
      </w:r>
      <w:r>
        <w:t xml:space="preserve"> http://data.worldbank.org/indicator/GB.XPD.RSDV.GD.ZS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538E3"/>
    <w:multiLevelType w:val="hybridMultilevel"/>
    <w:tmpl w:val="11D6C546"/>
    <w:lvl w:ilvl="0" w:tplc="D9C05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C0878"/>
    <w:multiLevelType w:val="hybridMultilevel"/>
    <w:tmpl w:val="AD04F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B67929"/>
    <w:multiLevelType w:val="hybridMultilevel"/>
    <w:tmpl w:val="EAFC8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E264AE"/>
    <w:multiLevelType w:val="hybridMultilevel"/>
    <w:tmpl w:val="29AE5C6C"/>
    <w:lvl w:ilvl="0" w:tplc="FFFFFFFF">
      <w:start w:val="1"/>
      <w:numFmt w:val="decimal"/>
      <w:pStyle w:val="n-chuong1"/>
      <w:lvlText w:val="%1."/>
      <w:lvlJc w:val="left"/>
      <w:pPr>
        <w:tabs>
          <w:tab w:val="num" w:pos="720"/>
        </w:tabs>
        <w:ind w:left="720" w:hanging="49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4C7A2936"/>
    <w:multiLevelType w:val="hybridMultilevel"/>
    <w:tmpl w:val="0162636A"/>
    <w:lvl w:ilvl="0" w:tplc="3DAA2AA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976D54"/>
    <w:multiLevelType w:val="hybridMultilevel"/>
    <w:tmpl w:val="13A6435A"/>
    <w:lvl w:ilvl="0" w:tplc="35685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920AF2"/>
    <w:multiLevelType w:val="hybridMultilevel"/>
    <w:tmpl w:val="68760F8C"/>
    <w:lvl w:ilvl="0" w:tplc="CD76CCD8">
      <w:start w:val="1"/>
      <w:numFmt w:val="bullet"/>
      <w:pStyle w:val="doan1"/>
      <w:lvlText w:val=""/>
      <w:lvlJc w:val="left"/>
      <w:pPr>
        <w:tabs>
          <w:tab w:val="num" w:pos="2404"/>
        </w:tabs>
        <w:ind w:left="24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99"/>
    <w:rsid w:val="00320ECA"/>
    <w:rsid w:val="003A2420"/>
    <w:rsid w:val="00894554"/>
    <w:rsid w:val="008A16BC"/>
    <w:rsid w:val="0094709F"/>
    <w:rsid w:val="00A50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10A93-1167-403E-A880-9CDC5023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8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0899"/>
    <w:pPr>
      <w:keepNext/>
      <w:spacing w:before="240" w:after="240"/>
      <w:jc w:val="center"/>
      <w:outlineLvl w:val="0"/>
    </w:pPr>
    <w:rPr>
      <w:rFonts w:ascii="Arial" w:hAnsi="Arial"/>
      <w:b/>
      <w:bCs/>
      <w:kern w:val="28"/>
      <w:lang w:val="x-none" w:eastAsia="x-none"/>
    </w:rPr>
  </w:style>
  <w:style w:type="paragraph" w:styleId="Heading2">
    <w:name w:val="heading 2"/>
    <w:basedOn w:val="Normal"/>
    <w:next w:val="Normal"/>
    <w:link w:val="Heading2Char"/>
    <w:qFormat/>
    <w:rsid w:val="00A50899"/>
    <w:pPr>
      <w:keepNext/>
      <w:spacing w:before="240" w:after="60"/>
      <w:ind w:left="284" w:hanging="284"/>
      <w:outlineLvl w:val="1"/>
    </w:pPr>
    <w:rPr>
      <w:rFonts w:ascii="Arial" w:hAnsi="Arial"/>
      <w:b/>
      <w:bCs/>
      <w:i/>
      <w:iCs/>
      <w:lang w:val="x-none" w:eastAsia="x-none"/>
    </w:rPr>
  </w:style>
  <w:style w:type="paragraph" w:styleId="Heading3">
    <w:name w:val="heading 3"/>
    <w:basedOn w:val="Normal"/>
    <w:next w:val="Normal"/>
    <w:link w:val="Heading3Char"/>
    <w:qFormat/>
    <w:rsid w:val="00A50899"/>
    <w:pPr>
      <w:keepNext/>
      <w:spacing w:before="120" w:after="60"/>
      <w:ind w:left="576" w:hanging="576"/>
      <w:outlineLvl w:val="2"/>
    </w:pPr>
    <w:rPr>
      <w:b/>
      <w:bCs/>
      <w:lang w:val="x-none" w:eastAsia="x-none"/>
    </w:rPr>
  </w:style>
  <w:style w:type="paragraph" w:styleId="Heading4">
    <w:name w:val="heading 4"/>
    <w:basedOn w:val="Normal"/>
    <w:next w:val="Normal"/>
    <w:link w:val="Heading4Char"/>
    <w:qFormat/>
    <w:rsid w:val="00A50899"/>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899"/>
    <w:rPr>
      <w:rFonts w:ascii="Arial" w:eastAsia="Times New Roman" w:hAnsi="Arial" w:cs="Times New Roman"/>
      <w:b/>
      <w:bCs/>
      <w:kern w:val="28"/>
      <w:sz w:val="24"/>
      <w:szCs w:val="24"/>
      <w:lang w:val="x-none" w:eastAsia="x-none"/>
    </w:rPr>
  </w:style>
  <w:style w:type="character" w:customStyle="1" w:styleId="Heading2Char">
    <w:name w:val="Heading 2 Char"/>
    <w:basedOn w:val="DefaultParagraphFont"/>
    <w:link w:val="Heading2"/>
    <w:rsid w:val="00A50899"/>
    <w:rPr>
      <w:rFonts w:ascii="Arial" w:eastAsia="Times New Roman" w:hAnsi="Arial" w:cs="Times New Roman"/>
      <w:b/>
      <w:bCs/>
      <w:i/>
      <w:iCs/>
      <w:sz w:val="24"/>
      <w:szCs w:val="24"/>
      <w:lang w:val="x-none" w:eastAsia="x-none"/>
    </w:rPr>
  </w:style>
  <w:style w:type="character" w:customStyle="1" w:styleId="Heading3Char">
    <w:name w:val="Heading 3 Char"/>
    <w:basedOn w:val="DefaultParagraphFont"/>
    <w:link w:val="Heading3"/>
    <w:rsid w:val="00A50899"/>
    <w:rPr>
      <w:rFonts w:ascii="Times New Roman" w:eastAsia="Times New Roman" w:hAnsi="Times New Roman" w:cs="Times New Roman"/>
      <w:b/>
      <w:bCs/>
      <w:sz w:val="24"/>
      <w:szCs w:val="24"/>
      <w:lang w:val="x-none" w:eastAsia="x-none"/>
    </w:rPr>
  </w:style>
  <w:style w:type="character" w:customStyle="1" w:styleId="Heading4Char">
    <w:name w:val="Heading 4 Char"/>
    <w:basedOn w:val="DefaultParagraphFont"/>
    <w:link w:val="Heading4"/>
    <w:rsid w:val="00A50899"/>
    <w:rPr>
      <w:rFonts w:ascii="Calibri" w:eastAsia="Times New Roman" w:hAnsi="Calibri" w:cs="Times New Roman"/>
      <w:b/>
      <w:bCs/>
      <w:sz w:val="28"/>
      <w:szCs w:val="28"/>
      <w:lang w:val="x-none" w:eastAsia="x-none"/>
    </w:rPr>
  </w:style>
  <w:style w:type="paragraph" w:styleId="BodyText">
    <w:name w:val="Body Text"/>
    <w:basedOn w:val="Normal"/>
    <w:link w:val="BodyTextChar"/>
    <w:rsid w:val="00A50899"/>
    <w:rPr>
      <w:sz w:val="26"/>
      <w:szCs w:val="26"/>
      <w:lang w:val="x-none" w:eastAsia="x-none"/>
    </w:rPr>
  </w:style>
  <w:style w:type="character" w:customStyle="1" w:styleId="BodyTextChar">
    <w:name w:val="Body Text Char"/>
    <w:basedOn w:val="DefaultParagraphFont"/>
    <w:link w:val="BodyText"/>
    <w:rsid w:val="00A50899"/>
    <w:rPr>
      <w:rFonts w:ascii="Times New Roman" w:eastAsia="Times New Roman" w:hAnsi="Times New Roman" w:cs="Times New Roman"/>
      <w:sz w:val="26"/>
      <w:szCs w:val="26"/>
      <w:lang w:val="x-none" w:eastAsia="x-none"/>
    </w:rPr>
  </w:style>
  <w:style w:type="paragraph" w:customStyle="1" w:styleId="khcn">
    <w:name w:val="khcn"/>
    <w:basedOn w:val="Normal"/>
    <w:rsid w:val="00A50899"/>
    <w:pPr>
      <w:spacing w:after="120"/>
      <w:ind w:firstLine="720"/>
      <w:jc w:val="both"/>
    </w:pPr>
  </w:style>
  <w:style w:type="paragraph" w:styleId="Footer">
    <w:name w:val="footer"/>
    <w:basedOn w:val="Normal"/>
    <w:link w:val="FooterChar"/>
    <w:uiPriority w:val="99"/>
    <w:rsid w:val="00A5089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50899"/>
    <w:rPr>
      <w:rFonts w:ascii="Times New Roman" w:eastAsia="Times New Roman" w:hAnsi="Times New Roman" w:cs="Times New Roman"/>
      <w:sz w:val="24"/>
      <w:szCs w:val="24"/>
      <w:lang w:val="x-none" w:eastAsia="x-none"/>
    </w:rPr>
  </w:style>
  <w:style w:type="character" w:styleId="PageNumber">
    <w:name w:val="page number"/>
    <w:basedOn w:val="DefaultParagraphFont"/>
    <w:rsid w:val="00A50899"/>
  </w:style>
  <w:style w:type="paragraph" w:styleId="Header">
    <w:name w:val="header"/>
    <w:basedOn w:val="Normal"/>
    <w:link w:val="HeaderChar"/>
    <w:uiPriority w:val="99"/>
    <w:rsid w:val="00A50899"/>
    <w:pPr>
      <w:tabs>
        <w:tab w:val="center" w:pos="4320"/>
        <w:tab w:val="right" w:pos="8640"/>
      </w:tabs>
    </w:pPr>
    <w:rPr>
      <w:color w:val="3366FF"/>
    </w:rPr>
  </w:style>
  <w:style w:type="character" w:customStyle="1" w:styleId="HeaderChar">
    <w:name w:val="Header Char"/>
    <w:basedOn w:val="DefaultParagraphFont"/>
    <w:link w:val="Header"/>
    <w:uiPriority w:val="99"/>
    <w:rsid w:val="00A50899"/>
    <w:rPr>
      <w:rFonts w:ascii="Times New Roman" w:eastAsia="Times New Roman" w:hAnsi="Times New Roman" w:cs="Times New Roman"/>
      <w:color w:val="3366FF"/>
      <w:sz w:val="24"/>
      <w:szCs w:val="24"/>
    </w:rPr>
  </w:style>
  <w:style w:type="character" w:styleId="Hyperlink">
    <w:name w:val="Hyperlink"/>
    <w:uiPriority w:val="99"/>
    <w:rsid w:val="00A50899"/>
    <w:rPr>
      <w:color w:val="0000FF"/>
      <w:u w:val="single"/>
    </w:rPr>
  </w:style>
  <w:style w:type="paragraph" w:styleId="TOC3">
    <w:name w:val="toc 3"/>
    <w:basedOn w:val="Normal"/>
    <w:next w:val="Normal"/>
    <w:autoRedefine/>
    <w:uiPriority w:val="39"/>
    <w:rsid w:val="00A50899"/>
    <w:pPr>
      <w:tabs>
        <w:tab w:val="right" w:leader="dot" w:pos="7371"/>
        <w:tab w:val="right" w:leader="dot" w:pos="8080"/>
      </w:tabs>
      <w:ind w:left="1276" w:right="510" w:hanging="709"/>
    </w:pPr>
    <w:rPr>
      <w:rFonts w:eastAsia="Calibri"/>
      <w:noProof/>
    </w:rPr>
  </w:style>
  <w:style w:type="paragraph" w:customStyle="1" w:styleId="khcnvntab">
    <w:name w:val="khcnvn_tab"/>
    <w:basedOn w:val="Normal"/>
    <w:qFormat/>
    <w:rsid w:val="00A50899"/>
    <w:pPr>
      <w:keepNext/>
      <w:spacing w:before="80" w:after="40"/>
    </w:pPr>
    <w:rPr>
      <w:rFonts w:ascii="Arial" w:hAnsi="Arial"/>
      <w:color w:val="000000"/>
      <w:sz w:val="20"/>
      <w:szCs w:val="25"/>
      <w:lang w:val="vi-VN"/>
    </w:rPr>
  </w:style>
  <w:style w:type="table" w:styleId="TableGrid">
    <w:name w:val="Table Grid"/>
    <w:basedOn w:val="TableNormal"/>
    <w:rsid w:val="00A5089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A">
    <w:name w:val="Body A"/>
    <w:basedOn w:val="Normal"/>
    <w:rsid w:val="00A50899"/>
    <w:pPr>
      <w:spacing w:before="80" w:after="80" w:line="264" w:lineRule="auto"/>
      <w:ind w:firstLine="425"/>
      <w:jc w:val="both"/>
    </w:pPr>
    <w:rPr>
      <w:rFonts w:eastAsia="Calibri"/>
    </w:rPr>
  </w:style>
  <w:style w:type="character" w:styleId="Emphasis">
    <w:name w:val="Emphasis"/>
    <w:uiPriority w:val="20"/>
    <w:qFormat/>
    <w:rsid w:val="00A50899"/>
    <w:rPr>
      <w:i/>
      <w:iCs/>
    </w:rPr>
  </w:style>
  <w:style w:type="character" w:styleId="FootnoteReference">
    <w:name w:val="footnote reference"/>
    <w:aliases w:val="Footnote"/>
    <w:rsid w:val="00A50899"/>
    <w:rPr>
      <w:vertAlign w:val="superscript"/>
    </w:rPr>
  </w:style>
  <w:style w:type="paragraph" w:customStyle="1" w:styleId="khcnvn">
    <w:name w:val="khcnvn"/>
    <w:basedOn w:val="Normal"/>
    <w:link w:val="khcnvnChar"/>
    <w:qFormat/>
    <w:rsid w:val="00A50899"/>
    <w:pPr>
      <w:widowControl w:val="0"/>
      <w:spacing w:line="288" w:lineRule="auto"/>
      <w:ind w:firstLine="425"/>
      <w:jc w:val="both"/>
    </w:pPr>
    <w:rPr>
      <w:rFonts w:eastAsia="Calibri"/>
      <w:sz w:val="26"/>
      <w:lang w:val="x-none" w:eastAsia="x-none"/>
    </w:rPr>
  </w:style>
  <w:style w:type="character" w:customStyle="1" w:styleId="khcnvnChar">
    <w:name w:val="khcnvn Char"/>
    <w:link w:val="khcnvn"/>
    <w:rsid w:val="00A50899"/>
    <w:rPr>
      <w:rFonts w:ascii="Times New Roman" w:eastAsia="Calibri" w:hAnsi="Times New Roman" w:cs="Times New Roman"/>
      <w:sz w:val="26"/>
      <w:szCs w:val="24"/>
      <w:lang w:val="x-none" w:eastAsia="x-none"/>
    </w:rPr>
  </w:style>
  <w:style w:type="paragraph" w:customStyle="1" w:styleId="Chuthich">
    <w:name w:val="Chu thich"/>
    <w:basedOn w:val="FootnoteText"/>
    <w:rsid w:val="00A50899"/>
    <w:pPr>
      <w:spacing w:line="245" w:lineRule="auto"/>
      <w:ind w:left="284" w:hanging="284"/>
      <w:jc w:val="both"/>
    </w:pPr>
    <w:rPr>
      <w:rFonts w:eastAsia="Calibri"/>
      <w:noProof/>
      <w:sz w:val="18"/>
      <w:szCs w:val="18"/>
      <w:lang w:val="vi-VN"/>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ootnote text,fn"/>
    <w:basedOn w:val="Normal"/>
    <w:link w:val="FootnoteTextChar"/>
    <w:qFormat/>
    <w:rsid w:val="00A50899"/>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
    <w:basedOn w:val="DefaultParagraphFont"/>
    <w:link w:val="FootnoteText"/>
    <w:rsid w:val="00A50899"/>
    <w:rPr>
      <w:rFonts w:ascii="Times New Roman" w:eastAsia="Times New Roman" w:hAnsi="Times New Roman" w:cs="Times New Roman"/>
      <w:sz w:val="20"/>
      <w:szCs w:val="20"/>
    </w:rPr>
  </w:style>
  <w:style w:type="paragraph" w:styleId="TOC1">
    <w:name w:val="toc 1"/>
    <w:basedOn w:val="Normal"/>
    <w:next w:val="Normal"/>
    <w:autoRedefine/>
    <w:uiPriority w:val="39"/>
    <w:rsid w:val="00A50899"/>
    <w:pPr>
      <w:tabs>
        <w:tab w:val="right" w:leader="dot" w:pos="7088"/>
      </w:tabs>
      <w:spacing w:before="60"/>
      <w:ind w:left="284" w:hanging="284"/>
      <w:jc w:val="center"/>
    </w:pPr>
    <w:rPr>
      <w:noProof/>
    </w:rPr>
  </w:style>
  <w:style w:type="paragraph" w:styleId="TOC2">
    <w:name w:val="toc 2"/>
    <w:basedOn w:val="Normal"/>
    <w:next w:val="Normal"/>
    <w:autoRedefine/>
    <w:uiPriority w:val="39"/>
    <w:rsid w:val="00A50899"/>
    <w:pPr>
      <w:tabs>
        <w:tab w:val="left" w:pos="567"/>
        <w:tab w:val="right" w:leader="dot" w:pos="7363"/>
      </w:tabs>
      <w:ind w:left="709" w:hanging="471"/>
    </w:pPr>
  </w:style>
  <w:style w:type="paragraph" w:styleId="NormalWeb">
    <w:name w:val="Normal (Web)"/>
    <w:basedOn w:val="Normal"/>
    <w:uiPriority w:val="99"/>
    <w:unhideWhenUsed/>
    <w:rsid w:val="00A50899"/>
    <w:pPr>
      <w:spacing w:before="100" w:beforeAutospacing="1" w:after="100" w:afterAutospacing="1"/>
    </w:pPr>
  </w:style>
  <w:style w:type="character" w:customStyle="1" w:styleId="apple-converted-space">
    <w:name w:val="apple-converted-space"/>
    <w:basedOn w:val="DefaultParagraphFont"/>
    <w:rsid w:val="00A50899"/>
  </w:style>
  <w:style w:type="paragraph" w:styleId="BalloonText">
    <w:name w:val="Balloon Text"/>
    <w:basedOn w:val="Normal"/>
    <w:link w:val="BalloonTextChar"/>
    <w:rsid w:val="00A50899"/>
    <w:rPr>
      <w:rFonts w:ascii="Tahoma" w:hAnsi="Tahoma"/>
      <w:sz w:val="16"/>
      <w:szCs w:val="16"/>
      <w:lang w:val="x-none" w:eastAsia="x-none"/>
    </w:rPr>
  </w:style>
  <w:style w:type="character" w:customStyle="1" w:styleId="BalloonTextChar">
    <w:name w:val="Balloon Text Char"/>
    <w:basedOn w:val="DefaultParagraphFont"/>
    <w:link w:val="BalloonText"/>
    <w:rsid w:val="00A50899"/>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A50899"/>
    <w:pPr>
      <w:spacing w:before="100" w:beforeAutospacing="1" w:after="120" w:afterAutospacing="1" w:line="276" w:lineRule="auto"/>
      <w:ind w:left="720"/>
      <w:contextualSpacing/>
      <w:jc w:val="both"/>
    </w:pPr>
    <w:rPr>
      <w:rFonts w:eastAsia="Calibri"/>
      <w:sz w:val="26"/>
      <w:szCs w:val="20"/>
    </w:rPr>
  </w:style>
  <w:style w:type="paragraph" w:styleId="BodyTextIndent">
    <w:name w:val="Body Text Indent"/>
    <w:basedOn w:val="Normal"/>
    <w:link w:val="BodyTextIndentChar"/>
    <w:rsid w:val="00A50899"/>
    <w:pPr>
      <w:spacing w:after="120"/>
      <w:ind w:left="360"/>
    </w:pPr>
    <w:rPr>
      <w:lang w:val="x-none" w:eastAsia="x-none"/>
    </w:rPr>
  </w:style>
  <w:style w:type="character" w:customStyle="1" w:styleId="BodyTextIndentChar">
    <w:name w:val="Body Text Indent Char"/>
    <w:basedOn w:val="DefaultParagraphFont"/>
    <w:link w:val="BodyTextIndent"/>
    <w:rsid w:val="00A50899"/>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rsid w:val="00A50899"/>
    <w:pPr>
      <w:spacing w:after="120" w:line="480" w:lineRule="auto"/>
    </w:pPr>
    <w:rPr>
      <w:sz w:val="26"/>
      <w:lang w:val="x-none" w:eastAsia="x-none"/>
    </w:rPr>
  </w:style>
  <w:style w:type="character" w:customStyle="1" w:styleId="BodyText2Char">
    <w:name w:val="Body Text 2 Char"/>
    <w:basedOn w:val="DefaultParagraphFont"/>
    <w:link w:val="BodyText2"/>
    <w:uiPriority w:val="99"/>
    <w:rsid w:val="00A50899"/>
    <w:rPr>
      <w:rFonts w:ascii="Times New Roman" w:eastAsia="Times New Roman" w:hAnsi="Times New Roman" w:cs="Times New Roman"/>
      <w:sz w:val="26"/>
      <w:szCs w:val="24"/>
      <w:lang w:val="x-none" w:eastAsia="x-none"/>
    </w:rPr>
  </w:style>
  <w:style w:type="paragraph" w:styleId="Subtitle">
    <w:name w:val="Subtitle"/>
    <w:basedOn w:val="Normal"/>
    <w:link w:val="SubtitleChar"/>
    <w:qFormat/>
    <w:rsid w:val="00A50899"/>
    <w:pPr>
      <w:jc w:val="center"/>
    </w:pPr>
    <w:rPr>
      <w:b/>
      <w:bCs/>
      <w:sz w:val="34"/>
      <w:lang w:val="x-none" w:eastAsia="x-none"/>
    </w:rPr>
  </w:style>
  <w:style w:type="character" w:customStyle="1" w:styleId="SubtitleChar">
    <w:name w:val="Subtitle Char"/>
    <w:basedOn w:val="DefaultParagraphFont"/>
    <w:link w:val="Subtitle"/>
    <w:rsid w:val="00A50899"/>
    <w:rPr>
      <w:rFonts w:ascii="Times New Roman" w:eastAsia="Times New Roman" w:hAnsi="Times New Roman" w:cs="Times New Roman"/>
      <w:b/>
      <w:bCs/>
      <w:sz w:val="34"/>
      <w:szCs w:val="24"/>
      <w:lang w:val="x-none" w:eastAsia="x-none"/>
    </w:rPr>
  </w:style>
  <w:style w:type="paragraph" w:styleId="Title">
    <w:name w:val="Title"/>
    <w:basedOn w:val="Normal"/>
    <w:link w:val="TitleChar"/>
    <w:qFormat/>
    <w:rsid w:val="00A50899"/>
    <w:pPr>
      <w:jc w:val="center"/>
    </w:pPr>
    <w:rPr>
      <w:rFonts w:ascii="VNI-Times" w:hAnsi="VNI-Times"/>
      <w:b/>
      <w:szCs w:val="20"/>
      <w:lang w:val="x-none" w:eastAsia="x-none"/>
    </w:rPr>
  </w:style>
  <w:style w:type="character" w:customStyle="1" w:styleId="TitleChar">
    <w:name w:val="Title Char"/>
    <w:basedOn w:val="DefaultParagraphFont"/>
    <w:link w:val="Title"/>
    <w:rsid w:val="00A50899"/>
    <w:rPr>
      <w:rFonts w:ascii="VNI-Times" w:eastAsia="Times New Roman" w:hAnsi="VNI-Times" w:cs="Times New Roman"/>
      <w:b/>
      <w:sz w:val="24"/>
      <w:szCs w:val="20"/>
      <w:lang w:val="x-none" w:eastAsia="x-none"/>
    </w:rPr>
  </w:style>
  <w:style w:type="paragraph" w:customStyle="1" w:styleId="Normal1">
    <w:name w:val="Normal1"/>
    <w:rsid w:val="00A50899"/>
    <w:pPr>
      <w:spacing w:after="0" w:line="240" w:lineRule="auto"/>
      <w:jc w:val="both"/>
    </w:pPr>
    <w:rPr>
      <w:rFonts w:ascii="Times New Roman" w:eastAsia="Times New Roman" w:hAnsi="Times New Roman" w:cs="Times New Roman"/>
      <w:color w:val="000000"/>
      <w:sz w:val="28"/>
      <w:szCs w:val="28"/>
    </w:rPr>
  </w:style>
  <w:style w:type="paragraph" w:customStyle="1" w:styleId="Heading31">
    <w:name w:val="Heading 31"/>
    <w:basedOn w:val="Heading3"/>
    <w:link w:val="heading3Char0"/>
    <w:rsid w:val="00A50899"/>
    <w:pPr>
      <w:spacing w:beforeLines="20" w:afterLines="20" w:line="276" w:lineRule="auto"/>
      <w:ind w:left="0" w:firstLine="720"/>
      <w:jc w:val="both"/>
    </w:pPr>
    <w:rPr>
      <w:sz w:val="26"/>
      <w:szCs w:val="26"/>
    </w:rPr>
  </w:style>
  <w:style w:type="character" w:customStyle="1" w:styleId="heading3Char0">
    <w:name w:val="heading 3 Char"/>
    <w:link w:val="Heading31"/>
    <w:rsid w:val="00A50899"/>
    <w:rPr>
      <w:rFonts w:ascii="Times New Roman" w:eastAsia="Times New Roman" w:hAnsi="Times New Roman" w:cs="Times New Roman"/>
      <w:b/>
      <w:bCs/>
      <w:sz w:val="26"/>
      <w:szCs w:val="26"/>
      <w:lang w:val="x-none" w:eastAsia="x-none"/>
    </w:rPr>
  </w:style>
  <w:style w:type="paragraph" w:customStyle="1" w:styleId="NoSpacing">
    <w:name w:val="No Spacing"/>
    <w:aliases w:val="BODY TONG LUAN"/>
    <w:basedOn w:val="Normal"/>
    <w:link w:val="NoSpacingChar"/>
    <w:qFormat/>
    <w:rsid w:val="00A50899"/>
    <w:pPr>
      <w:jc w:val="both"/>
    </w:pPr>
    <w:rPr>
      <w:lang w:val="vi-VN" w:eastAsia="vi-VN"/>
    </w:rPr>
  </w:style>
  <w:style w:type="character" w:customStyle="1" w:styleId="NoSpacingChar">
    <w:name w:val="No Spacing Char"/>
    <w:aliases w:val="BODY TONG LUAN Char"/>
    <w:link w:val="NoSpacing"/>
    <w:rsid w:val="00A50899"/>
    <w:rPr>
      <w:rFonts w:ascii="Times New Roman" w:eastAsia="Times New Roman" w:hAnsi="Times New Roman" w:cs="Times New Roman"/>
      <w:sz w:val="24"/>
      <w:szCs w:val="24"/>
      <w:lang w:val="vi-VN" w:eastAsia="vi-VN"/>
    </w:rPr>
  </w:style>
  <w:style w:type="character" w:styleId="Strong">
    <w:name w:val="Strong"/>
    <w:uiPriority w:val="22"/>
    <w:qFormat/>
    <w:rsid w:val="00A50899"/>
    <w:rPr>
      <w:b/>
      <w:bCs/>
    </w:rPr>
  </w:style>
  <w:style w:type="character" w:customStyle="1" w:styleId="normal-h1">
    <w:name w:val="normal-h1"/>
    <w:rsid w:val="00A50899"/>
    <w:rPr>
      <w:rFonts w:ascii="Times New Roman" w:hAnsi="Times New Roman" w:cs="Times New Roman" w:hint="default"/>
      <w:sz w:val="24"/>
      <w:szCs w:val="24"/>
    </w:rPr>
  </w:style>
  <w:style w:type="paragraph" w:customStyle="1" w:styleId="Demuc1">
    <w:name w:val="De muc 1"/>
    <w:basedOn w:val="Normal"/>
    <w:rsid w:val="00A50899"/>
    <w:pPr>
      <w:spacing w:before="360" w:after="120"/>
    </w:pPr>
    <w:rPr>
      <w:rFonts w:ascii=".VnTimeH" w:hAnsi=".VnTimeH"/>
      <w:b/>
      <w:color w:val="FF0000"/>
      <w:sz w:val="25"/>
      <w:szCs w:val="20"/>
    </w:rPr>
  </w:style>
  <w:style w:type="paragraph" w:customStyle="1" w:styleId="tenvb-p">
    <w:name w:val="tenvb-p"/>
    <w:basedOn w:val="Normal"/>
    <w:rsid w:val="00A50899"/>
    <w:pPr>
      <w:jc w:val="center"/>
    </w:pPr>
    <w:rPr>
      <w:sz w:val="20"/>
      <w:szCs w:val="20"/>
    </w:rPr>
  </w:style>
  <w:style w:type="character" w:customStyle="1" w:styleId="normalchar">
    <w:name w:val="normal__char"/>
    <w:basedOn w:val="DefaultParagraphFont"/>
    <w:rsid w:val="00A50899"/>
  </w:style>
  <w:style w:type="paragraph" w:customStyle="1" w:styleId="1">
    <w:name w:val="Обычный1"/>
    <w:basedOn w:val="Normal"/>
    <w:rsid w:val="00A50899"/>
    <w:pPr>
      <w:spacing w:before="100" w:beforeAutospacing="1" w:after="100" w:afterAutospacing="1"/>
    </w:pPr>
  </w:style>
  <w:style w:type="paragraph" w:customStyle="1" w:styleId="Bang2">
    <w:name w:val="Bang2"/>
    <w:basedOn w:val="Normal"/>
    <w:qFormat/>
    <w:rsid w:val="00A50899"/>
    <w:pPr>
      <w:keepNext/>
      <w:spacing w:before="60" w:after="60"/>
    </w:pPr>
    <w:rPr>
      <w:rFonts w:ascii="Arial" w:hAnsi="Arial"/>
      <w:bCs/>
      <w:iCs/>
      <w:sz w:val="20"/>
      <w:szCs w:val="22"/>
    </w:rPr>
  </w:style>
  <w:style w:type="character" w:customStyle="1" w:styleId="normalchar1">
    <w:name w:val="normalchar1"/>
    <w:basedOn w:val="DefaultParagraphFont"/>
    <w:rsid w:val="00A50899"/>
  </w:style>
  <w:style w:type="paragraph" w:customStyle="1" w:styleId="KHCN111">
    <w:name w:val="KHCN 1.1.1"/>
    <w:basedOn w:val="Normal"/>
    <w:link w:val="KHCN111Char"/>
    <w:rsid w:val="00A50899"/>
    <w:pPr>
      <w:keepNext/>
      <w:widowControl w:val="0"/>
      <w:spacing w:before="240" w:after="80" w:line="269" w:lineRule="auto"/>
      <w:ind w:left="567" w:hanging="567"/>
    </w:pPr>
    <w:rPr>
      <w:rFonts w:ascii="Arial" w:eastAsia="Calibri" w:hAnsi="Arial"/>
      <w:b/>
      <w:bCs/>
      <w:color w:val="000000"/>
      <w:lang w:val="x-none" w:eastAsia="x-none"/>
    </w:rPr>
  </w:style>
  <w:style w:type="character" w:customStyle="1" w:styleId="KHCN111Char">
    <w:name w:val="KHCN 1.1.1 Char"/>
    <w:link w:val="KHCN111"/>
    <w:rsid w:val="00A50899"/>
    <w:rPr>
      <w:rFonts w:ascii="Arial" w:eastAsia="Calibri" w:hAnsi="Arial" w:cs="Times New Roman"/>
      <w:b/>
      <w:bCs/>
      <w:color w:val="000000"/>
      <w:sz w:val="24"/>
      <w:szCs w:val="24"/>
      <w:lang w:val="x-none" w:eastAsia="x-none"/>
    </w:rPr>
  </w:style>
  <w:style w:type="paragraph" w:customStyle="1" w:styleId="khcnvnItalic">
    <w:name w:val="khcnvn + Italic"/>
    <w:basedOn w:val="khcnvn"/>
    <w:rsid w:val="00A50899"/>
    <w:pPr>
      <w:spacing w:before="120" w:after="40" w:line="269" w:lineRule="auto"/>
    </w:pPr>
    <w:rPr>
      <w:rFonts w:ascii="Calibri" w:hAnsi="Calibri"/>
      <w:i/>
      <w:sz w:val="24"/>
    </w:rPr>
  </w:style>
  <w:style w:type="paragraph" w:customStyle="1" w:styleId="nghieng">
    <w:name w:val="nghieng"/>
    <w:basedOn w:val="khcnvnItalic"/>
    <w:rsid w:val="00A50899"/>
    <w:pPr>
      <w:spacing w:before="160" w:after="0"/>
      <w:ind w:firstLine="567"/>
    </w:pPr>
    <w:rPr>
      <w:rFonts w:ascii="Times New Roman Italic" w:hAnsi="Times New Roman Italic"/>
    </w:rPr>
  </w:style>
  <w:style w:type="paragraph" w:customStyle="1" w:styleId="bodyA0">
    <w:name w:val="body A"/>
    <w:basedOn w:val="khcnvn"/>
    <w:qFormat/>
    <w:rsid w:val="00A50899"/>
    <w:pPr>
      <w:widowControl/>
      <w:spacing w:before="160" w:after="40" w:line="271" w:lineRule="auto"/>
      <w:ind w:firstLine="567"/>
    </w:pPr>
    <w:rPr>
      <w:rFonts w:eastAsia="Times New Roman"/>
      <w:sz w:val="24"/>
    </w:rPr>
  </w:style>
  <w:style w:type="paragraph" w:customStyle="1" w:styleId="BodyB">
    <w:name w:val="Body B"/>
    <w:basedOn w:val="bodyA0"/>
    <w:qFormat/>
    <w:rsid w:val="00A50899"/>
    <w:pPr>
      <w:spacing w:line="257" w:lineRule="auto"/>
    </w:pPr>
  </w:style>
  <w:style w:type="paragraph" w:customStyle="1" w:styleId="khcnvn1">
    <w:name w:val="khcnvn1"/>
    <w:basedOn w:val="Heading1"/>
    <w:qFormat/>
    <w:rsid w:val="00A50899"/>
    <w:pPr>
      <w:spacing w:line="360" w:lineRule="auto"/>
    </w:pPr>
  </w:style>
  <w:style w:type="paragraph" w:customStyle="1" w:styleId="khcnvn2">
    <w:name w:val="khcnvn2"/>
    <w:basedOn w:val="Heading2"/>
    <w:qFormat/>
    <w:rsid w:val="00A50899"/>
    <w:pPr>
      <w:spacing w:after="240" w:line="276" w:lineRule="auto"/>
    </w:pPr>
  </w:style>
  <w:style w:type="paragraph" w:customStyle="1" w:styleId="khcnvn3">
    <w:name w:val="khcnvn3"/>
    <w:basedOn w:val="Heading3"/>
    <w:qFormat/>
    <w:rsid w:val="00A50899"/>
    <w:rPr>
      <w:i/>
      <w:sz w:val="26"/>
    </w:rPr>
  </w:style>
  <w:style w:type="paragraph" w:customStyle="1" w:styleId="bodytext0">
    <w:name w:val="bodytext"/>
    <w:basedOn w:val="Normal"/>
    <w:rsid w:val="00A50899"/>
    <w:pPr>
      <w:spacing w:before="100" w:beforeAutospacing="1" w:after="100" w:afterAutospacing="1"/>
    </w:pPr>
  </w:style>
  <w:style w:type="paragraph" w:customStyle="1" w:styleId="dam">
    <w:name w:val="dam"/>
    <w:basedOn w:val="Normal"/>
    <w:rsid w:val="00A50899"/>
    <w:pPr>
      <w:spacing w:before="100" w:beforeAutospacing="1" w:after="100" w:afterAutospacing="1"/>
    </w:pPr>
  </w:style>
  <w:style w:type="character" w:customStyle="1" w:styleId="tomtattinb">
    <w:name w:val="tomtattinb"/>
    <w:basedOn w:val="DefaultParagraphFont"/>
    <w:rsid w:val="00A50899"/>
  </w:style>
  <w:style w:type="paragraph" w:customStyle="1" w:styleId="h1">
    <w:name w:val="h1"/>
    <w:basedOn w:val="Normal"/>
    <w:rsid w:val="00A50899"/>
    <w:pPr>
      <w:spacing w:before="100" w:beforeAutospacing="1" w:after="100" w:afterAutospacing="1"/>
    </w:pPr>
  </w:style>
  <w:style w:type="character" w:customStyle="1" w:styleId="Heading1Char1">
    <w:name w:val="Heading 1 Char1"/>
    <w:rsid w:val="00A50899"/>
    <w:rPr>
      <w:rFonts w:ascii="Cambria" w:eastAsia="Times New Roman" w:hAnsi="Cambria" w:cs="Times New Roman"/>
      <w:b/>
      <w:bCs/>
      <w:kern w:val="32"/>
      <w:sz w:val="32"/>
      <w:szCs w:val="32"/>
    </w:rPr>
  </w:style>
  <w:style w:type="character" w:customStyle="1" w:styleId="field-content">
    <w:name w:val="field-content"/>
    <w:basedOn w:val="DefaultParagraphFont"/>
    <w:rsid w:val="00A50899"/>
  </w:style>
  <w:style w:type="character" w:customStyle="1" w:styleId="Heading3Char1">
    <w:name w:val="Heading 3 Char1"/>
    <w:rsid w:val="00A50899"/>
    <w:rPr>
      <w:rFonts w:ascii="Times New Roman" w:hAnsi="Times New Roman"/>
      <w:b/>
      <w:i/>
      <w:sz w:val="26"/>
      <w:szCs w:val="24"/>
    </w:rPr>
  </w:style>
  <w:style w:type="character" w:customStyle="1" w:styleId="HeaderChar1">
    <w:name w:val="Header Char1"/>
    <w:uiPriority w:val="99"/>
    <w:rsid w:val="00A50899"/>
    <w:rPr>
      <w:rFonts w:eastAsia="Times New Roman"/>
      <w:sz w:val="22"/>
      <w:szCs w:val="22"/>
    </w:rPr>
  </w:style>
  <w:style w:type="character" w:customStyle="1" w:styleId="FooterChar1">
    <w:name w:val="Footer Char1"/>
    <w:uiPriority w:val="99"/>
    <w:rsid w:val="00A50899"/>
    <w:rPr>
      <w:rFonts w:eastAsia="Times New Roman"/>
      <w:sz w:val="22"/>
      <w:szCs w:val="22"/>
    </w:rPr>
  </w:style>
  <w:style w:type="paragraph" w:customStyle="1" w:styleId="Bang">
    <w:name w:val="Bang"/>
    <w:basedOn w:val="Normal"/>
    <w:qFormat/>
    <w:rsid w:val="00A50899"/>
    <w:pPr>
      <w:keepNext/>
      <w:tabs>
        <w:tab w:val="left" w:pos="105"/>
      </w:tabs>
      <w:autoSpaceDE w:val="0"/>
      <w:autoSpaceDN w:val="0"/>
      <w:adjustRightInd w:val="0"/>
      <w:spacing w:before="75"/>
      <w:jc w:val="center"/>
    </w:pPr>
    <w:rPr>
      <w:rFonts w:cs="Arial"/>
      <w:bCs/>
      <w:i/>
      <w:iCs/>
    </w:rPr>
  </w:style>
  <w:style w:type="paragraph" w:customStyle="1" w:styleId="Donvi">
    <w:name w:val="Donvi"/>
    <w:basedOn w:val="Normal"/>
    <w:qFormat/>
    <w:rsid w:val="00A50899"/>
    <w:pPr>
      <w:widowControl w:val="0"/>
      <w:tabs>
        <w:tab w:val="left" w:pos="105"/>
      </w:tabs>
      <w:autoSpaceDE w:val="0"/>
      <w:autoSpaceDN w:val="0"/>
      <w:adjustRightInd w:val="0"/>
      <w:spacing w:before="75"/>
      <w:jc w:val="right"/>
    </w:pPr>
    <w:rPr>
      <w:bCs/>
      <w:i/>
      <w:iCs/>
      <w:color w:val="000080"/>
      <w:sz w:val="22"/>
    </w:rPr>
  </w:style>
  <w:style w:type="paragraph" w:styleId="TOCHeading">
    <w:name w:val="TOC Heading"/>
    <w:basedOn w:val="Heading1"/>
    <w:next w:val="Normal"/>
    <w:qFormat/>
    <w:rsid w:val="00A50899"/>
    <w:pPr>
      <w:keepLines/>
      <w:spacing w:before="480" w:after="0" w:line="276" w:lineRule="auto"/>
      <w:ind w:firstLine="720"/>
      <w:jc w:val="left"/>
      <w:outlineLvl w:val="9"/>
    </w:pPr>
    <w:rPr>
      <w:rFonts w:ascii="Cambria" w:eastAsia="Calibri" w:hAnsi="Cambria"/>
      <w:caps/>
      <w:color w:val="365F91"/>
      <w:kern w:val="0"/>
      <w:szCs w:val="28"/>
      <w:lang w:eastAsia="ja-JP"/>
    </w:rPr>
  </w:style>
  <w:style w:type="paragraph" w:styleId="Caption">
    <w:name w:val="caption"/>
    <w:basedOn w:val="Normal"/>
    <w:next w:val="Normal"/>
    <w:autoRedefine/>
    <w:qFormat/>
    <w:rsid w:val="00A50899"/>
    <w:pPr>
      <w:keepNext/>
      <w:spacing w:after="120"/>
      <w:jc w:val="center"/>
    </w:pPr>
    <w:rPr>
      <w:rFonts w:eastAsia="Calibri"/>
      <w:b/>
      <w:bCs/>
      <w:szCs w:val="20"/>
    </w:rPr>
  </w:style>
  <w:style w:type="paragraph" w:customStyle="1" w:styleId="khcnvnfoot">
    <w:name w:val="khcnvn_foot"/>
    <w:basedOn w:val="FootnoteText"/>
    <w:qFormat/>
    <w:rsid w:val="00A50899"/>
    <w:pPr>
      <w:widowControl w:val="0"/>
    </w:pPr>
    <w:rPr>
      <w:sz w:val="22"/>
    </w:rPr>
  </w:style>
  <w:style w:type="paragraph" w:styleId="PlainText">
    <w:name w:val="Plain Text"/>
    <w:basedOn w:val="Normal"/>
    <w:link w:val="PlainTextChar"/>
    <w:uiPriority w:val="99"/>
    <w:rsid w:val="00A50899"/>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A50899"/>
    <w:rPr>
      <w:rFonts w:ascii="Courier New" w:eastAsia="Times New Roman" w:hAnsi="Courier New" w:cs="Times New Roman"/>
      <w:sz w:val="20"/>
      <w:szCs w:val="20"/>
      <w:lang w:val="x-none" w:eastAsia="x-none"/>
    </w:rPr>
  </w:style>
  <w:style w:type="character" w:customStyle="1" w:styleId="titlebox1">
    <w:name w:val="title_box1"/>
    <w:basedOn w:val="DefaultParagraphFont"/>
    <w:rsid w:val="00A50899"/>
  </w:style>
  <w:style w:type="paragraph" w:styleId="DocumentMap">
    <w:name w:val="Document Map"/>
    <w:basedOn w:val="Normal"/>
    <w:link w:val="DocumentMapChar"/>
    <w:unhideWhenUsed/>
    <w:rsid w:val="00A50899"/>
    <w:pPr>
      <w:spacing w:after="120" w:line="240" w:lineRule="atLeast"/>
      <w:ind w:firstLine="720"/>
      <w:jc w:val="both"/>
    </w:pPr>
    <w:rPr>
      <w:rFonts w:ascii="Tahoma" w:hAnsi="Tahoma"/>
      <w:sz w:val="16"/>
      <w:szCs w:val="16"/>
      <w:lang w:val="x-none" w:eastAsia="x-none"/>
    </w:rPr>
  </w:style>
  <w:style w:type="character" w:customStyle="1" w:styleId="DocumentMapChar">
    <w:name w:val="Document Map Char"/>
    <w:basedOn w:val="DefaultParagraphFont"/>
    <w:link w:val="DocumentMap"/>
    <w:rsid w:val="00A50899"/>
    <w:rPr>
      <w:rFonts w:ascii="Tahoma" w:eastAsia="Times New Roman" w:hAnsi="Tahoma" w:cs="Times New Roman"/>
      <w:sz w:val="16"/>
      <w:szCs w:val="16"/>
      <w:lang w:val="x-none" w:eastAsia="x-none"/>
    </w:rPr>
  </w:style>
  <w:style w:type="paragraph" w:customStyle="1" w:styleId="bangstr">
    <w:name w:val="bangstr"/>
    <w:basedOn w:val="Normal"/>
    <w:rsid w:val="00A50899"/>
    <w:pPr>
      <w:widowControl w:val="0"/>
      <w:spacing w:before="60" w:after="60"/>
      <w:jc w:val="right"/>
    </w:pPr>
    <w:rPr>
      <w:rFonts w:ascii=".VnCentury Schoolbook" w:hAnsi=".VnCentury Schoolbook"/>
      <w:color w:val="000000"/>
      <w:sz w:val="21"/>
      <w:szCs w:val="20"/>
    </w:rPr>
  </w:style>
  <w:style w:type="paragraph" w:customStyle="1" w:styleId="titable">
    <w:name w:val="titable"/>
    <w:basedOn w:val="Normal"/>
    <w:rsid w:val="00A50899"/>
    <w:pPr>
      <w:keepNext/>
      <w:widowControl w:val="0"/>
      <w:spacing w:after="120"/>
    </w:pPr>
    <w:rPr>
      <w:rFonts w:ascii=".VnCentury Schoolbook" w:hAnsi=".VnCentury Schoolbook"/>
      <w:i/>
      <w:iCs/>
      <w:color w:val="000000"/>
      <w:sz w:val="22"/>
      <w:szCs w:val="20"/>
    </w:rPr>
  </w:style>
  <w:style w:type="paragraph" w:customStyle="1" w:styleId="ms-rtethemefontface-2ms-rtefontsize-2">
    <w:name w:val="ms-rtethemefontface-2 ms-rtefontsize-2"/>
    <w:basedOn w:val="Normal"/>
    <w:rsid w:val="00A50899"/>
    <w:pPr>
      <w:spacing w:before="100" w:beforeAutospacing="1" w:after="100" w:afterAutospacing="1"/>
    </w:pPr>
  </w:style>
  <w:style w:type="paragraph" w:styleId="BodyTextIndent2">
    <w:name w:val="Body Text Indent 2"/>
    <w:basedOn w:val="Normal"/>
    <w:link w:val="BodyTextIndent2Char"/>
    <w:uiPriority w:val="99"/>
    <w:unhideWhenUsed/>
    <w:rsid w:val="00A50899"/>
    <w:pPr>
      <w:spacing w:after="120" w:line="480" w:lineRule="auto"/>
      <w:ind w:left="360" w:firstLine="720"/>
      <w:jc w:val="both"/>
    </w:pPr>
    <w:rPr>
      <w:sz w:val="28"/>
      <w:lang w:val="x-none" w:eastAsia="x-none"/>
    </w:rPr>
  </w:style>
  <w:style w:type="character" w:customStyle="1" w:styleId="BodyTextIndent2Char">
    <w:name w:val="Body Text Indent 2 Char"/>
    <w:basedOn w:val="DefaultParagraphFont"/>
    <w:link w:val="BodyTextIndent2"/>
    <w:uiPriority w:val="99"/>
    <w:rsid w:val="00A50899"/>
    <w:rPr>
      <w:rFonts w:ascii="Times New Roman" w:eastAsia="Times New Roman" w:hAnsi="Times New Roman" w:cs="Times New Roman"/>
      <w:sz w:val="28"/>
      <w:szCs w:val="24"/>
      <w:lang w:val="x-none" w:eastAsia="x-none"/>
    </w:rPr>
  </w:style>
  <w:style w:type="character" w:customStyle="1" w:styleId="longtext">
    <w:name w:val="long_text"/>
    <w:rsid w:val="00A50899"/>
  </w:style>
  <w:style w:type="paragraph" w:customStyle="1" w:styleId="n-dieund">
    <w:name w:val="n-dieund"/>
    <w:basedOn w:val="Normal"/>
    <w:rsid w:val="00A50899"/>
    <w:pPr>
      <w:widowControl w:val="0"/>
      <w:autoSpaceDE w:val="0"/>
      <w:autoSpaceDN w:val="0"/>
      <w:spacing w:after="120"/>
      <w:ind w:firstLine="709"/>
      <w:jc w:val="both"/>
    </w:pPr>
    <w:rPr>
      <w:rFonts w:ascii=".VnTime" w:hAnsi=".VnTime" w:cs=".VnTime"/>
      <w:sz w:val="28"/>
      <w:szCs w:val="28"/>
    </w:rPr>
  </w:style>
  <w:style w:type="paragraph" w:styleId="TOC4">
    <w:name w:val="toc 4"/>
    <w:basedOn w:val="Normal"/>
    <w:next w:val="Normal"/>
    <w:autoRedefine/>
    <w:uiPriority w:val="39"/>
    <w:unhideWhenUsed/>
    <w:rsid w:val="00A50899"/>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A5089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5089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5089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5089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50899"/>
    <w:pPr>
      <w:spacing w:after="100" w:line="276" w:lineRule="auto"/>
      <w:ind w:left="1760"/>
    </w:pPr>
    <w:rPr>
      <w:rFonts w:ascii="Calibri" w:hAnsi="Calibri"/>
      <w:sz w:val="22"/>
      <w:szCs w:val="22"/>
    </w:rPr>
  </w:style>
  <w:style w:type="paragraph" w:customStyle="1" w:styleId="n-dieu">
    <w:name w:val="n-dieu"/>
    <w:basedOn w:val="Normal"/>
    <w:rsid w:val="00A50899"/>
    <w:pPr>
      <w:widowControl w:val="0"/>
      <w:autoSpaceDE w:val="0"/>
      <w:autoSpaceDN w:val="0"/>
      <w:spacing w:before="120" w:after="180"/>
      <w:ind w:firstLine="709"/>
      <w:jc w:val="both"/>
    </w:pPr>
    <w:rPr>
      <w:rFonts w:ascii=".VnTime" w:hAnsi=".VnTime" w:cs=".VnTime"/>
      <w:b/>
      <w:bCs/>
      <w:sz w:val="28"/>
      <w:szCs w:val="28"/>
    </w:rPr>
  </w:style>
  <w:style w:type="paragraph" w:customStyle="1" w:styleId="khoan">
    <w:name w:val="khoan"/>
    <w:basedOn w:val="Normal"/>
    <w:link w:val="khoanChar"/>
    <w:rsid w:val="00A50899"/>
    <w:pPr>
      <w:widowControl w:val="0"/>
      <w:tabs>
        <w:tab w:val="left" w:pos="2415"/>
      </w:tabs>
      <w:spacing w:before="120" w:after="120"/>
      <w:jc w:val="both"/>
    </w:pPr>
    <w:rPr>
      <w:rFonts w:ascii=".VnTime" w:hAnsi=".VnTime"/>
      <w:sz w:val="28"/>
      <w:szCs w:val="28"/>
      <w:lang w:val="pt-BR" w:eastAsia="x-none"/>
    </w:rPr>
  </w:style>
  <w:style w:type="character" w:customStyle="1" w:styleId="khoanChar">
    <w:name w:val="khoan Char"/>
    <w:link w:val="khoan"/>
    <w:rsid w:val="00A50899"/>
    <w:rPr>
      <w:rFonts w:ascii=".VnTime" w:eastAsia="Times New Roman" w:hAnsi=".VnTime" w:cs="Times New Roman"/>
      <w:sz w:val="28"/>
      <w:szCs w:val="28"/>
      <w:lang w:val="pt-BR" w:eastAsia="x-none"/>
    </w:rPr>
  </w:style>
  <w:style w:type="paragraph" w:customStyle="1" w:styleId="text">
    <w:name w:val="text"/>
    <w:basedOn w:val="Normal"/>
    <w:rsid w:val="00A50899"/>
    <w:pPr>
      <w:spacing w:before="15" w:after="100" w:afterAutospacing="1"/>
    </w:pPr>
    <w:rPr>
      <w:rFonts w:ascii="Verdana" w:hAnsi="Verdana"/>
      <w:color w:val="333333"/>
      <w:sz w:val="20"/>
      <w:szCs w:val="20"/>
    </w:rPr>
  </w:style>
  <w:style w:type="character" w:customStyle="1" w:styleId="adtext">
    <w:name w:val="adtext"/>
    <w:basedOn w:val="DefaultParagraphFont"/>
    <w:rsid w:val="00A50899"/>
  </w:style>
  <w:style w:type="paragraph" w:customStyle="1" w:styleId="pbody">
    <w:name w:val="pbody"/>
    <w:basedOn w:val="Normal"/>
    <w:rsid w:val="00A50899"/>
    <w:pPr>
      <w:spacing w:before="100" w:beforeAutospacing="1" w:after="100" w:afterAutospacing="1"/>
    </w:pPr>
  </w:style>
  <w:style w:type="character" w:customStyle="1" w:styleId="normal-h">
    <w:name w:val="normal-h"/>
    <w:rsid w:val="00A50899"/>
  </w:style>
  <w:style w:type="paragraph" w:customStyle="1" w:styleId="KHCNTG">
    <w:name w:val="KHCNTG"/>
    <w:basedOn w:val="Normal"/>
    <w:link w:val="KHCNTGChar"/>
    <w:rsid w:val="00A50899"/>
    <w:pPr>
      <w:widowControl w:val="0"/>
      <w:spacing w:after="60" w:line="288" w:lineRule="auto"/>
      <w:ind w:firstLine="454"/>
      <w:jc w:val="both"/>
    </w:pPr>
    <w:rPr>
      <w:rFonts w:ascii=".VnCentury Schoolbook" w:eastAsia=".VnTime" w:hAnsi=".VnCentury Schoolbook"/>
      <w:szCs w:val="23"/>
      <w:lang w:val="x-none" w:eastAsia="x-none"/>
    </w:rPr>
  </w:style>
  <w:style w:type="character" w:customStyle="1" w:styleId="KHCNTGChar">
    <w:name w:val="KHCNTG Char"/>
    <w:link w:val="KHCNTG"/>
    <w:rsid w:val="00A50899"/>
    <w:rPr>
      <w:rFonts w:ascii=".VnCentury Schoolbook" w:eastAsia=".VnTime" w:hAnsi=".VnCentury Schoolbook" w:cs="Times New Roman"/>
      <w:sz w:val="24"/>
      <w:szCs w:val="23"/>
      <w:lang w:val="x-none" w:eastAsia="x-none"/>
    </w:rPr>
  </w:style>
  <w:style w:type="paragraph" w:customStyle="1" w:styleId="table">
    <w:name w:val="table"/>
    <w:basedOn w:val="KHCNTG"/>
    <w:rsid w:val="00A50899"/>
    <w:pPr>
      <w:spacing w:before="40" w:after="40" w:line="240" w:lineRule="auto"/>
      <w:ind w:firstLine="0"/>
    </w:pPr>
    <w:rPr>
      <w:rFonts w:ascii=".VnArial" w:hAnsi=".VnArial"/>
      <w:bCs/>
      <w:sz w:val="20"/>
      <w:szCs w:val="24"/>
    </w:rPr>
  </w:style>
  <w:style w:type="character" w:customStyle="1" w:styleId="gmn7t8139wu6">
    <w:name w:val="gmn7t8139wu6"/>
    <w:basedOn w:val="DefaultParagraphFont"/>
    <w:rsid w:val="00A50899"/>
  </w:style>
  <w:style w:type="paragraph" w:customStyle="1" w:styleId="khcnvn4">
    <w:name w:val="khcnvn4"/>
    <w:basedOn w:val="Heading4"/>
    <w:autoRedefine/>
    <w:qFormat/>
    <w:rsid w:val="00A50899"/>
    <w:pPr>
      <w:keepLines/>
      <w:spacing w:before="120" w:after="120" w:line="276" w:lineRule="auto"/>
      <w:ind w:firstLine="454"/>
      <w:jc w:val="both"/>
    </w:pPr>
    <w:rPr>
      <w:rFonts w:ascii="Times New Roman" w:hAnsi="Times New Roman"/>
      <w:b w:val="0"/>
      <w:i/>
      <w:iCs/>
      <w:sz w:val="25"/>
      <w:szCs w:val="24"/>
      <w:lang w:val="vi-VN"/>
    </w:rPr>
  </w:style>
  <w:style w:type="paragraph" w:styleId="BodyTextIndent3">
    <w:name w:val="Body Text Indent 3"/>
    <w:basedOn w:val="Normal"/>
    <w:link w:val="BodyTextIndent3Char"/>
    <w:unhideWhenUsed/>
    <w:rsid w:val="00A50899"/>
    <w:pPr>
      <w:spacing w:after="120" w:line="240" w:lineRule="atLeast"/>
      <w:ind w:left="360" w:firstLine="720"/>
      <w:jc w:val="both"/>
    </w:pPr>
    <w:rPr>
      <w:sz w:val="16"/>
      <w:szCs w:val="16"/>
      <w:lang w:val="x-none" w:eastAsia="x-none"/>
    </w:rPr>
  </w:style>
  <w:style w:type="character" w:customStyle="1" w:styleId="BodyTextIndent3Char">
    <w:name w:val="Body Text Indent 3 Char"/>
    <w:basedOn w:val="DefaultParagraphFont"/>
    <w:link w:val="BodyTextIndent3"/>
    <w:rsid w:val="00A50899"/>
    <w:rPr>
      <w:rFonts w:ascii="Times New Roman" w:eastAsia="Times New Roman" w:hAnsi="Times New Roman" w:cs="Times New Roman"/>
      <w:sz w:val="16"/>
      <w:szCs w:val="16"/>
      <w:lang w:val="x-none" w:eastAsia="x-none"/>
    </w:rPr>
  </w:style>
  <w:style w:type="paragraph" w:customStyle="1" w:styleId="Default">
    <w:name w:val="Default"/>
    <w:rsid w:val="00A5089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0020paragraphchar1">
    <w:name w:val="list_0020paragraph__char1"/>
    <w:rsid w:val="00A50899"/>
    <w:rPr>
      <w:rFonts w:ascii="Calibri" w:hAnsi="Calibri" w:hint="default"/>
      <w:sz w:val="22"/>
      <w:szCs w:val="22"/>
    </w:rPr>
  </w:style>
  <w:style w:type="character" w:customStyle="1" w:styleId="normalchar10">
    <w:name w:val="normal__char1"/>
    <w:rsid w:val="00A50899"/>
    <w:rPr>
      <w:rFonts w:ascii="Calibri" w:hAnsi="Calibri" w:hint="default"/>
      <w:sz w:val="22"/>
      <w:szCs w:val="22"/>
    </w:rPr>
  </w:style>
  <w:style w:type="character" w:customStyle="1" w:styleId="highlight">
    <w:name w:val="highlight"/>
    <w:basedOn w:val="DefaultParagraphFont"/>
    <w:rsid w:val="00A50899"/>
  </w:style>
  <w:style w:type="paragraph" w:customStyle="1" w:styleId="xl25">
    <w:name w:val="xl25"/>
    <w:basedOn w:val="Normal"/>
    <w:rsid w:val="00A50899"/>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cs2cf418bf">
    <w:name w:val="cs2cf418bf"/>
    <w:basedOn w:val="Normal"/>
    <w:rsid w:val="00A50899"/>
    <w:pPr>
      <w:spacing w:before="100" w:beforeAutospacing="1" w:after="100" w:afterAutospacing="1"/>
    </w:pPr>
  </w:style>
  <w:style w:type="character" w:customStyle="1" w:styleId="cs188c92b5">
    <w:name w:val="cs188c92b5"/>
    <w:basedOn w:val="DefaultParagraphFont"/>
    <w:rsid w:val="00A50899"/>
  </w:style>
  <w:style w:type="paragraph" w:customStyle="1" w:styleId="Table0">
    <w:name w:val="Table"/>
    <w:basedOn w:val="NoSpacing"/>
    <w:rsid w:val="00A50899"/>
    <w:pPr>
      <w:suppressAutoHyphens/>
      <w:spacing w:before="240" w:after="240" w:line="100" w:lineRule="atLeast"/>
      <w:jc w:val="center"/>
    </w:pPr>
    <w:rPr>
      <w:kern w:val="1"/>
      <w:sz w:val="22"/>
      <w:lang w:eastAsia="ar-SA"/>
    </w:rPr>
  </w:style>
  <w:style w:type="paragraph" w:customStyle="1" w:styleId="TTL">
    <w:name w:val="TT_LĐ"/>
    <w:basedOn w:val="NormalWeb"/>
    <w:link w:val="TTLChar"/>
    <w:qFormat/>
    <w:rsid w:val="00A50899"/>
    <w:pPr>
      <w:widowControl w:val="0"/>
      <w:spacing w:before="0" w:beforeAutospacing="0" w:after="0" w:afterAutospacing="0" w:line="264" w:lineRule="auto"/>
      <w:ind w:firstLine="284"/>
    </w:pPr>
    <w:rPr>
      <w:sz w:val="26"/>
      <w:szCs w:val="26"/>
      <w:lang w:val="x-none" w:eastAsia="x-none"/>
    </w:rPr>
  </w:style>
  <w:style w:type="character" w:customStyle="1" w:styleId="TTLChar">
    <w:name w:val="TT_LĐ Char"/>
    <w:link w:val="TTL"/>
    <w:rsid w:val="00A50899"/>
    <w:rPr>
      <w:rFonts w:ascii="Times New Roman" w:eastAsia="Times New Roman" w:hAnsi="Times New Roman" w:cs="Times New Roman"/>
      <w:sz w:val="26"/>
      <w:szCs w:val="26"/>
      <w:lang w:val="x-none" w:eastAsia="x-none"/>
    </w:rPr>
  </w:style>
  <w:style w:type="character" w:styleId="PlaceholderText">
    <w:name w:val="Placeholder Text"/>
    <w:uiPriority w:val="99"/>
    <w:semiHidden/>
    <w:rsid w:val="00A50899"/>
    <w:rPr>
      <w:color w:val="808080"/>
    </w:rPr>
  </w:style>
  <w:style w:type="paragraph" w:styleId="BodyText3">
    <w:name w:val="Body Text 3"/>
    <w:basedOn w:val="Normal"/>
    <w:link w:val="BodyText3Char"/>
    <w:rsid w:val="00A50899"/>
    <w:pPr>
      <w:spacing w:after="120" w:line="240" w:lineRule="atLeast"/>
      <w:ind w:firstLine="720"/>
      <w:jc w:val="both"/>
    </w:pPr>
    <w:rPr>
      <w:sz w:val="16"/>
      <w:szCs w:val="16"/>
      <w:lang w:val="x-none" w:eastAsia="x-none"/>
    </w:rPr>
  </w:style>
  <w:style w:type="character" w:customStyle="1" w:styleId="BodyText3Char">
    <w:name w:val="Body Text 3 Char"/>
    <w:basedOn w:val="DefaultParagraphFont"/>
    <w:link w:val="BodyText3"/>
    <w:rsid w:val="00A50899"/>
    <w:rPr>
      <w:rFonts w:ascii="Times New Roman" w:eastAsia="Times New Roman" w:hAnsi="Times New Roman" w:cs="Times New Roman"/>
      <w:sz w:val="16"/>
      <w:szCs w:val="16"/>
      <w:lang w:val="x-none" w:eastAsia="x-none"/>
    </w:rPr>
  </w:style>
  <w:style w:type="table" w:customStyle="1" w:styleId="TableGrid1">
    <w:name w:val="Table Grid1"/>
    <w:basedOn w:val="TableNormal"/>
    <w:next w:val="TableGrid"/>
    <w:rsid w:val="00A5089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A5089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rsid w:val="00A5089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A5089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rsid w:val="00A5089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oryheadline">
    <w:name w:val="story_headline"/>
    <w:basedOn w:val="DefaultParagraphFont"/>
    <w:rsid w:val="00A50899"/>
  </w:style>
  <w:style w:type="character" w:customStyle="1" w:styleId="CharChar6">
    <w:name w:val="Char Char6"/>
    <w:locked/>
    <w:rsid w:val="00A50899"/>
    <w:rPr>
      <w:rFonts w:cs="Arial"/>
      <w:b/>
      <w:bCs/>
      <w:kern w:val="32"/>
      <w:sz w:val="28"/>
      <w:szCs w:val="32"/>
      <w:lang w:val="en-US" w:eastAsia="en-US" w:bidi="ar-SA"/>
    </w:rPr>
  </w:style>
  <w:style w:type="character" w:styleId="FollowedHyperlink">
    <w:name w:val="FollowedHyperlink"/>
    <w:rsid w:val="00A50899"/>
    <w:rPr>
      <w:color w:val="800080"/>
      <w:u w:val="single"/>
    </w:rPr>
  </w:style>
  <w:style w:type="character" w:customStyle="1" w:styleId="st">
    <w:name w:val="st"/>
    <w:basedOn w:val="DefaultParagraphFont"/>
    <w:rsid w:val="00A50899"/>
  </w:style>
  <w:style w:type="paragraph" w:customStyle="1" w:styleId="ColorfulList-Accent11">
    <w:name w:val="Colorful List - Accent 11"/>
    <w:basedOn w:val="Normal"/>
    <w:qFormat/>
    <w:rsid w:val="00A50899"/>
    <w:pPr>
      <w:ind w:left="720"/>
    </w:pPr>
    <w:rPr>
      <w:rFonts w:ascii=".VnTime" w:eastAsia="SimSun" w:hAnsi=".VnTime" w:cs=".VnTime"/>
      <w:sz w:val="28"/>
      <w:szCs w:val="28"/>
    </w:rPr>
  </w:style>
  <w:style w:type="paragraph" w:customStyle="1" w:styleId="KHCN1111">
    <w:name w:val="KHCN 1.1.1.1"/>
    <w:basedOn w:val="KHCN111"/>
    <w:link w:val="KHCN1111Char"/>
    <w:rsid w:val="00A50899"/>
    <w:pPr>
      <w:spacing w:before="200"/>
      <w:ind w:left="822" w:hanging="822"/>
    </w:pPr>
    <w:rPr>
      <w:i/>
      <w:sz w:val="22"/>
      <w:szCs w:val="22"/>
    </w:rPr>
  </w:style>
  <w:style w:type="character" w:customStyle="1" w:styleId="KHCN1111Char">
    <w:name w:val="KHCN 1.1.1.1 Char"/>
    <w:link w:val="KHCN1111"/>
    <w:rsid w:val="00A50899"/>
    <w:rPr>
      <w:rFonts w:ascii="Arial" w:eastAsia="Calibri" w:hAnsi="Arial" w:cs="Times New Roman"/>
      <w:b/>
      <w:bCs/>
      <w:i/>
      <w:color w:val="000000"/>
      <w:lang w:val="x-none" w:eastAsia="x-none"/>
    </w:rPr>
  </w:style>
  <w:style w:type="paragraph" w:customStyle="1" w:styleId="KHCN11">
    <w:name w:val="KHCN 1.1"/>
    <w:basedOn w:val="Heading2"/>
    <w:link w:val="KHCN11Char"/>
    <w:rsid w:val="00A50899"/>
    <w:pPr>
      <w:spacing w:before="400" w:after="200" w:line="276" w:lineRule="auto"/>
      <w:ind w:left="482" w:hanging="482"/>
    </w:pPr>
    <w:rPr>
      <w:rFonts w:eastAsia="Calibri"/>
      <w:i w:val="0"/>
      <w:noProof/>
      <w:lang w:val="vi-VN"/>
    </w:rPr>
  </w:style>
  <w:style w:type="character" w:customStyle="1" w:styleId="KHCN11Char">
    <w:name w:val="KHCN 1.1 Char"/>
    <w:link w:val="KHCN11"/>
    <w:rsid w:val="00A50899"/>
    <w:rPr>
      <w:rFonts w:ascii="Arial" w:eastAsia="Calibri" w:hAnsi="Arial" w:cs="Times New Roman"/>
      <w:b/>
      <w:bCs/>
      <w:iCs/>
      <w:noProof/>
      <w:sz w:val="24"/>
      <w:szCs w:val="24"/>
      <w:lang w:val="vi-VN" w:eastAsia="x-none"/>
    </w:rPr>
  </w:style>
  <w:style w:type="paragraph" w:customStyle="1" w:styleId="nguon01">
    <w:name w:val="nguon 01"/>
    <w:basedOn w:val="Normal"/>
    <w:link w:val="nguon01Char"/>
    <w:rsid w:val="00A50899"/>
    <w:pPr>
      <w:spacing w:before="200" w:after="100" w:line="276" w:lineRule="auto"/>
      <w:jc w:val="right"/>
    </w:pPr>
    <w:rPr>
      <w:rFonts w:ascii="Arial" w:eastAsia="Calibri" w:hAnsi="Arial"/>
      <w:i/>
      <w:noProof/>
      <w:sz w:val="20"/>
      <w:szCs w:val="20"/>
      <w:lang w:val="vi-VN" w:eastAsia="x-none"/>
    </w:rPr>
  </w:style>
  <w:style w:type="character" w:customStyle="1" w:styleId="nguon01Char">
    <w:name w:val="nguon 01 Char"/>
    <w:link w:val="nguon01"/>
    <w:rsid w:val="00A50899"/>
    <w:rPr>
      <w:rFonts w:ascii="Arial" w:eastAsia="Calibri" w:hAnsi="Arial" w:cs="Times New Roman"/>
      <w:i/>
      <w:noProof/>
      <w:sz w:val="20"/>
      <w:szCs w:val="20"/>
      <w:lang w:val="vi-VN" w:eastAsia="x-none"/>
    </w:rPr>
  </w:style>
  <w:style w:type="paragraph" w:customStyle="1" w:styleId="StyleKHCN111Before16ptAfter6pt">
    <w:name w:val="Style KHCN 1.1.1 + Before:  16 pt After:  6 pt"/>
    <w:basedOn w:val="KHCN111"/>
    <w:uiPriority w:val="99"/>
    <w:rsid w:val="00A50899"/>
    <w:pPr>
      <w:spacing w:before="320" w:after="120"/>
      <w:ind w:left="709" w:hanging="709"/>
    </w:pPr>
    <w:rPr>
      <w:rFonts w:eastAsia="Times New Roman"/>
      <w:szCs w:val="20"/>
    </w:rPr>
  </w:style>
  <w:style w:type="paragraph" w:customStyle="1" w:styleId="Dieu">
    <w:name w:val="Dieu"/>
    <w:basedOn w:val="Heading2"/>
    <w:rsid w:val="00A50899"/>
    <w:pPr>
      <w:keepNext w:val="0"/>
      <w:tabs>
        <w:tab w:val="left" w:pos="2415"/>
      </w:tabs>
      <w:spacing w:after="240"/>
      <w:ind w:left="0" w:firstLine="540"/>
      <w:jc w:val="both"/>
    </w:pPr>
    <w:rPr>
      <w:rFonts w:ascii="Times New Roman" w:eastAsia="VNI-Times" w:hAnsi="Times New Roman"/>
      <w:i w:val="0"/>
      <w:sz w:val="28"/>
      <w:szCs w:val="28"/>
      <w:lang w:val="pt-BR"/>
    </w:rPr>
  </w:style>
  <w:style w:type="paragraph" w:customStyle="1" w:styleId="11khcnvn">
    <w:name w:val="1.1 khcnvn"/>
    <w:basedOn w:val="Normal"/>
    <w:link w:val="11khcnvnChar"/>
    <w:qFormat/>
    <w:rsid w:val="00A50899"/>
    <w:pPr>
      <w:keepNext/>
      <w:spacing w:before="300" w:line="252" w:lineRule="auto"/>
      <w:jc w:val="both"/>
      <w:outlineLvl w:val="1"/>
    </w:pPr>
    <w:rPr>
      <w:rFonts w:ascii="Times New Roman Bold" w:eastAsia="Calibri" w:hAnsi="Times New Roman Bold"/>
      <w:b/>
      <w:bCs/>
      <w:noProof/>
      <w:color w:val="0070C0"/>
      <w:sz w:val="26"/>
      <w:lang w:val="vi-VN" w:eastAsia="ko-KR"/>
    </w:rPr>
  </w:style>
  <w:style w:type="character" w:customStyle="1" w:styleId="11khcnvnChar">
    <w:name w:val="1.1 khcnvn Char"/>
    <w:link w:val="11khcnvn"/>
    <w:locked/>
    <w:rsid w:val="00A50899"/>
    <w:rPr>
      <w:rFonts w:ascii="Times New Roman Bold" w:eastAsia="Calibri" w:hAnsi="Times New Roman Bold" w:cs="Times New Roman"/>
      <w:b/>
      <w:bCs/>
      <w:noProof/>
      <w:color w:val="0070C0"/>
      <w:sz w:val="26"/>
      <w:szCs w:val="24"/>
      <w:lang w:val="vi-VN" w:eastAsia="ko-KR"/>
    </w:rPr>
  </w:style>
  <w:style w:type="paragraph" w:customStyle="1" w:styleId="Mucluc2">
    <w:name w:val="Muc luc 2"/>
    <w:basedOn w:val="ListParagraph"/>
    <w:qFormat/>
    <w:rsid w:val="00A50899"/>
    <w:pPr>
      <w:spacing w:before="120" w:beforeAutospacing="0" w:afterAutospacing="0" w:line="240" w:lineRule="auto"/>
      <w:ind w:left="0"/>
      <w:jc w:val="left"/>
      <w:outlineLvl w:val="1"/>
    </w:pPr>
    <w:rPr>
      <w:b/>
      <w:i/>
      <w:sz w:val="24"/>
      <w:szCs w:val="24"/>
    </w:rPr>
  </w:style>
  <w:style w:type="paragraph" w:customStyle="1" w:styleId="111khcnvn">
    <w:name w:val="1.1.1 khcnvn"/>
    <w:basedOn w:val="Normal"/>
    <w:link w:val="111khcnvnChar"/>
    <w:qFormat/>
    <w:rsid w:val="00A50899"/>
    <w:pPr>
      <w:keepNext/>
      <w:widowControl w:val="0"/>
      <w:spacing w:before="200" w:after="80" w:line="269" w:lineRule="auto"/>
      <w:jc w:val="both"/>
    </w:pPr>
    <w:rPr>
      <w:rFonts w:ascii="Times New Roman Bold Italic" w:eastAsia="Calibri" w:hAnsi="Times New Roman Bold Italic"/>
      <w:b/>
      <w:bCs/>
      <w:i/>
      <w:color w:val="0070C0"/>
      <w:sz w:val="26"/>
      <w:szCs w:val="26"/>
    </w:rPr>
  </w:style>
  <w:style w:type="character" w:customStyle="1" w:styleId="111khcnvnChar">
    <w:name w:val="1.1.1 khcnvn Char"/>
    <w:link w:val="111khcnvn"/>
    <w:rsid w:val="00A50899"/>
    <w:rPr>
      <w:rFonts w:ascii="Times New Roman Bold Italic" w:eastAsia="Calibri" w:hAnsi="Times New Roman Bold Italic" w:cs="Times New Roman"/>
      <w:b/>
      <w:bCs/>
      <w:i/>
      <w:color w:val="0070C0"/>
      <w:sz w:val="26"/>
      <w:szCs w:val="26"/>
    </w:rPr>
  </w:style>
  <w:style w:type="paragraph" w:customStyle="1" w:styleId="StylekhcnvnLinespacingMultiple11li">
    <w:name w:val="Style khcnvn + Line spacing:  Multiple 1.1 li"/>
    <w:basedOn w:val="khcnvn"/>
    <w:autoRedefine/>
    <w:rsid w:val="00A50899"/>
    <w:pPr>
      <w:spacing w:before="100" w:after="40" w:line="271" w:lineRule="auto"/>
    </w:pPr>
    <w:rPr>
      <w:rFonts w:ascii="Calibri" w:eastAsia="Times New Roman" w:hAnsi="Calibri"/>
      <w:spacing w:val="-4"/>
      <w:sz w:val="24"/>
      <w:lang w:val="vi-VN"/>
    </w:rPr>
  </w:style>
  <w:style w:type="paragraph" w:customStyle="1" w:styleId="KHCN111cach">
    <w:name w:val="KHCN 1.1.1 cach"/>
    <w:basedOn w:val="Normal"/>
    <w:rsid w:val="00A50899"/>
    <w:pPr>
      <w:keepNext/>
      <w:widowControl w:val="0"/>
      <w:spacing w:before="240" w:after="120" w:line="252" w:lineRule="auto"/>
      <w:ind w:left="680" w:hanging="680"/>
    </w:pPr>
    <w:rPr>
      <w:rFonts w:ascii="Arial" w:eastAsia="Calibri" w:hAnsi="Arial"/>
      <w:b/>
      <w:bCs/>
      <w:color w:val="000000"/>
      <w:szCs w:val="25"/>
    </w:rPr>
  </w:style>
  <w:style w:type="paragraph" w:customStyle="1" w:styleId="KHCN110">
    <w:name w:val="KHCN 1.1."/>
    <w:basedOn w:val="Heading2"/>
    <w:link w:val="KHCN11Char0"/>
    <w:rsid w:val="00A50899"/>
    <w:pPr>
      <w:spacing w:before="100" w:after="0" w:line="252" w:lineRule="auto"/>
      <w:ind w:left="397" w:hanging="397"/>
    </w:pPr>
    <w:rPr>
      <w:rFonts w:ascii="Calibri" w:eastAsia="Calibri" w:hAnsi="Calibri"/>
      <w:i w:val="0"/>
      <w:noProof/>
      <w:color w:val="000000"/>
      <w:spacing w:val="-2"/>
      <w:szCs w:val="26"/>
      <w:lang w:val="vi-VN"/>
    </w:rPr>
  </w:style>
  <w:style w:type="character" w:customStyle="1" w:styleId="KHCN11Char0">
    <w:name w:val="KHCN 1.1. Char"/>
    <w:link w:val="KHCN110"/>
    <w:rsid w:val="00A50899"/>
    <w:rPr>
      <w:rFonts w:ascii="Calibri" w:eastAsia="Calibri" w:hAnsi="Calibri" w:cs="Times New Roman"/>
      <w:b/>
      <w:bCs/>
      <w:iCs/>
      <w:noProof/>
      <w:color w:val="000000"/>
      <w:spacing w:val="-2"/>
      <w:sz w:val="24"/>
      <w:szCs w:val="26"/>
      <w:lang w:val="vi-VN" w:eastAsia="x-none"/>
    </w:rPr>
  </w:style>
  <w:style w:type="paragraph" w:customStyle="1" w:styleId="title1">
    <w:name w:val="title1"/>
    <w:basedOn w:val="Normal"/>
    <w:rsid w:val="00A50899"/>
    <w:pPr>
      <w:spacing w:before="120" w:after="120"/>
      <w:ind w:left="570" w:right="570"/>
    </w:pPr>
    <w:rPr>
      <w:b/>
      <w:bCs/>
    </w:rPr>
  </w:style>
  <w:style w:type="paragraph" w:customStyle="1" w:styleId="n-chuong1">
    <w:name w:val="n-chuong1"/>
    <w:basedOn w:val="Normal"/>
    <w:rsid w:val="00A50899"/>
    <w:pPr>
      <w:numPr>
        <w:numId w:val="1"/>
      </w:numPr>
      <w:tabs>
        <w:tab w:val="clear" w:pos="720"/>
      </w:tabs>
      <w:spacing w:before="300" w:after="80"/>
      <w:ind w:left="0" w:firstLine="0"/>
      <w:jc w:val="center"/>
    </w:pPr>
    <w:rPr>
      <w:rFonts w:ascii=".VnTime" w:hAnsi=".VnTime"/>
      <w:b/>
      <w:i/>
      <w:sz w:val="28"/>
    </w:rPr>
  </w:style>
  <w:style w:type="character" w:styleId="CommentReference">
    <w:name w:val="annotation reference"/>
    <w:rsid w:val="00A50899"/>
    <w:rPr>
      <w:sz w:val="16"/>
      <w:szCs w:val="16"/>
    </w:rPr>
  </w:style>
  <w:style w:type="paragraph" w:styleId="CommentText">
    <w:name w:val="annotation text"/>
    <w:basedOn w:val="Normal"/>
    <w:link w:val="CommentTextChar"/>
    <w:rsid w:val="00A50899"/>
    <w:rPr>
      <w:sz w:val="20"/>
      <w:szCs w:val="20"/>
    </w:rPr>
  </w:style>
  <w:style w:type="character" w:customStyle="1" w:styleId="CommentTextChar">
    <w:name w:val="Comment Text Char"/>
    <w:basedOn w:val="DefaultParagraphFont"/>
    <w:link w:val="CommentText"/>
    <w:rsid w:val="00A508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50899"/>
    <w:rPr>
      <w:b/>
      <w:bCs/>
      <w:lang w:val="x-none" w:eastAsia="x-none"/>
    </w:rPr>
  </w:style>
  <w:style w:type="character" w:customStyle="1" w:styleId="CommentSubjectChar">
    <w:name w:val="Comment Subject Char"/>
    <w:basedOn w:val="CommentTextChar"/>
    <w:link w:val="CommentSubject"/>
    <w:rsid w:val="00A50899"/>
    <w:rPr>
      <w:rFonts w:ascii="Times New Roman" w:eastAsia="Times New Roman" w:hAnsi="Times New Roman" w:cs="Times New Roman"/>
      <w:b/>
      <w:bCs/>
      <w:sz w:val="20"/>
      <w:szCs w:val="20"/>
      <w:lang w:val="x-none" w:eastAsia="x-none"/>
    </w:rPr>
  </w:style>
  <w:style w:type="table" w:styleId="TableContemporary">
    <w:name w:val="Table Contemporary"/>
    <w:basedOn w:val="TableNormal"/>
    <w:rsid w:val="00A50899"/>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Revision">
    <w:name w:val="Revision"/>
    <w:hidden/>
    <w:uiPriority w:val="99"/>
    <w:semiHidden/>
    <w:rsid w:val="00A50899"/>
    <w:pPr>
      <w:spacing w:after="0" w:line="240" w:lineRule="auto"/>
    </w:pPr>
    <w:rPr>
      <w:rFonts w:ascii="Times New Roman" w:eastAsia="Times New Roman" w:hAnsi="Times New Roman" w:cs="Times New Roman"/>
      <w:sz w:val="24"/>
      <w:szCs w:val="24"/>
    </w:rPr>
  </w:style>
  <w:style w:type="table" w:customStyle="1" w:styleId="LightShading-Accent11">
    <w:name w:val="Light Shading - Accent 11"/>
    <w:basedOn w:val="TableNormal"/>
    <w:uiPriority w:val="60"/>
    <w:rsid w:val="00A50899"/>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Accent5">
    <w:name w:val="Light Grid Accent 5"/>
    <w:basedOn w:val="TableNormal"/>
    <w:uiPriority w:val="62"/>
    <w:rsid w:val="00A5089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tyleBang2BoldItalicAuto">
    <w:name w:val="Style Bang2 + Bold Italic Auto"/>
    <w:basedOn w:val="Bang2"/>
    <w:rsid w:val="00A50899"/>
    <w:rPr>
      <w:b/>
      <w:i/>
    </w:rPr>
  </w:style>
  <w:style w:type="paragraph" w:customStyle="1" w:styleId="StyleBang2Auto">
    <w:name w:val="Style Bang2 + Auto"/>
    <w:basedOn w:val="Bang2"/>
    <w:rsid w:val="00A50899"/>
    <w:rPr>
      <w:bCs w:val="0"/>
      <w:iCs w:val="0"/>
    </w:rPr>
  </w:style>
  <w:style w:type="paragraph" w:customStyle="1" w:styleId="KHCNTG1">
    <w:name w:val="KHCNTG1"/>
    <w:basedOn w:val="Normal"/>
    <w:qFormat/>
    <w:rsid w:val="00A50899"/>
    <w:pPr>
      <w:spacing w:before="240" w:after="240" w:line="360" w:lineRule="auto"/>
      <w:jc w:val="center"/>
    </w:pPr>
    <w:rPr>
      <w:rFonts w:eastAsia="Calibri"/>
      <w:b/>
      <w:sz w:val="28"/>
      <w:szCs w:val="22"/>
    </w:rPr>
  </w:style>
  <w:style w:type="character" w:customStyle="1" w:styleId="hps">
    <w:name w:val="hps"/>
    <w:basedOn w:val="DefaultParagraphFont"/>
    <w:rsid w:val="00A50899"/>
  </w:style>
  <w:style w:type="paragraph" w:customStyle="1" w:styleId="Char1CharCharCharCharCharChar">
    <w:name w:val="Char1 Char Char Char Char Char Char"/>
    <w:basedOn w:val="Normal"/>
    <w:rsid w:val="00A50899"/>
    <w:pPr>
      <w:spacing w:after="160" w:line="240" w:lineRule="exact"/>
    </w:pPr>
    <w:rPr>
      <w:rFonts w:ascii="Verdana" w:hAnsi="Verdana"/>
      <w:sz w:val="20"/>
      <w:szCs w:val="20"/>
      <w:lang w:val="en-GB"/>
    </w:rPr>
  </w:style>
  <w:style w:type="paragraph" w:customStyle="1" w:styleId="mcntmcntmsonormal">
    <w:name w:val="mcntmcntmsonormal"/>
    <w:basedOn w:val="Normal"/>
    <w:rsid w:val="00A50899"/>
    <w:pPr>
      <w:spacing w:before="100" w:beforeAutospacing="1" w:after="100" w:afterAutospacing="1"/>
    </w:pPr>
  </w:style>
  <w:style w:type="character" w:customStyle="1" w:styleId="pissn">
    <w:name w:val="pissn"/>
    <w:basedOn w:val="DefaultParagraphFont"/>
    <w:rsid w:val="00A50899"/>
  </w:style>
  <w:style w:type="character" w:customStyle="1" w:styleId="eissn">
    <w:name w:val="eissn"/>
    <w:basedOn w:val="DefaultParagraphFont"/>
    <w:rsid w:val="00A50899"/>
  </w:style>
  <w:style w:type="paragraph" w:customStyle="1" w:styleId="StyleBang29pt">
    <w:name w:val="Style Bang2 + 9 pt"/>
    <w:basedOn w:val="Bang2"/>
    <w:rsid w:val="00A50899"/>
    <w:pPr>
      <w:keepNext w:val="0"/>
      <w:widowControl w:val="0"/>
    </w:pPr>
    <w:rPr>
      <w:bCs w:val="0"/>
      <w:iCs w:val="0"/>
      <w:sz w:val="18"/>
    </w:rPr>
  </w:style>
  <w:style w:type="paragraph" w:customStyle="1" w:styleId="Normal2">
    <w:name w:val="Normal2"/>
    <w:basedOn w:val="Normal"/>
    <w:rsid w:val="00A50899"/>
    <w:pPr>
      <w:spacing w:before="100" w:beforeAutospacing="1" w:after="100" w:afterAutospacing="1"/>
    </w:pPr>
  </w:style>
  <w:style w:type="paragraph" w:customStyle="1" w:styleId="khcnvnTenBang">
    <w:name w:val="khcnvn_TenBang"/>
    <w:basedOn w:val="Bang2"/>
    <w:qFormat/>
    <w:rsid w:val="00A50899"/>
    <w:pPr>
      <w:jc w:val="center"/>
    </w:pPr>
  </w:style>
  <w:style w:type="paragraph" w:customStyle="1" w:styleId="khcnvntenhinh">
    <w:name w:val="khcnvn_tenhinh"/>
    <w:basedOn w:val="Bang2"/>
    <w:qFormat/>
    <w:rsid w:val="00A50899"/>
    <w:pPr>
      <w:keepNext w:val="0"/>
      <w:jc w:val="center"/>
    </w:pPr>
  </w:style>
  <w:style w:type="paragraph" w:customStyle="1" w:styleId="chuongtit">
    <w:name w:val="chuong tit"/>
    <w:basedOn w:val="Normal"/>
    <w:qFormat/>
    <w:rsid w:val="00A50899"/>
    <w:pPr>
      <w:spacing w:before="820"/>
      <w:jc w:val="center"/>
    </w:pPr>
  </w:style>
  <w:style w:type="paragraph" w:customStyle="1" w:styleId="chuong2">
    <w:name w:val="chuong 2"/>
    <w:basedOn w:val="Normal"/>
    <w:qFormat/>
    <w:rsid w:val="00A50899"/>
    <w:pPr>
      <w:spacing w:before="80"/>
      <w:jc w:val="center"/>
    </w:pPr>
    <w:rPr>
      <w:b/>
      <w:sz w:val="30"/>
      <w:szCs w:val="30"/>
    </w:rPr>
  </w:style>
  <w:style w:type="paragraph" w:customStyle="1" w:styleId="StyleBang2Before9pt">
    <w:name w:val="Style Bang2 + Before:  9 pt"/>
    <w:basedOn w:val="Bang2"/>
    <w:rsid w:val="00A50899"/>
    <w:pPr>
      <w:spacing w:before="180"/>
    </w:pPr>
    <w:rPr>
      <w:bCs w:val="0"/>
      <w:iCs w:val="0"/>
      <w:szCs w:val="20"/>
    </w:rPr>
  </w:style>
  <w:style w:type="paragraph" w:customStyle="1" w:styleId="Stylenguon01LeftBefore5ptAfter0ptLinespacing">
    <w:name w:val="Style nguon 01 + Left Before:  5 pt After:  0 pt Line spacing:  ..."/>
    <w:basedOn w:val="nguon01"/>
    <w:rsid w:val="00A50899"/>
    <w:pPr>
      <w:spacing w:before="100" w:after="0" w:line="240" w:lineRule="auto"/>
      <w:jc w:val="both"/>
    </w:pPr>
    <w:rPr>
      <w:rFonts w:eastAsia="Times New Roman"/>
      <w:i w:val="0"/>
      <w:iCs/>
    </w:rPr>
  </w:style>
  <w:style w:type="paragraph" w:customStyle="1" w:styleId="StyleBang211ptBoldBlueBefore13ptAfter8pt">
    <w:name w:val="Style Bang2 + 11 pt Bold Blue Before:  13 pt After:  8 pt"/>
    <w:basedOn w:val="Bang2"/>
    <w:rsid w:val="00A50899"/>
    <w:pPr>
      <w:spacing w:before="260" w:after="160"/>
    </w:pPr>
    <w:rPr>
      <w:b/>
      <w:iCs w:val="0"/>
      <w:color w:val="3366FF"/>
      <w:sz w:val="22"/>
      <w:szCs w:val="20"/>
    </w:rPr>
  </w:style>
  <w:style w:type="paragraph" w:customStyle="1" w:styleId="StyleBang212ptBoldCustomColorRGB0112192">
    <w:name w:val="Style Bang2 + 12 pt Bold Custom Color(RGB(0112192))"/>
    <w:basedOn w:val="Bang2"/>
    <w:rsid w:val="00A50899"/>
    <w:pPr>
      <w:spacing w:before="280"/>
    </w:pPr>
    <w:rPr>
      <w:b/>
      <w:iCs w:val="0"/>
      <w:color w:val="0070C0"/>
      <w:sz w:val="24"/>
    </w:rPr>
  </w:style>
  <w:style w:type="paragraph" w:customStyle="1" w:styleId="doan1">
    <w:name w:val="doan1"/>
    <w:basedOn w:val="Normal"/>
    <w:rsid w:val="00A50899"/>
    <w:pPr>
      <w:numPr>
        <w:numId w:val="6"/>
      </w:numPr>
    </w:pPr>
  </w:style>
  <w:style w:type="paragraph" w:customStyle="1" w:styleId="cham">
    <w:name w:val="cham"/>
    <w:basedOn w:val="doan1"/>
    <w:rsid w:val="00A50899"/>
    <w:pPr>
      <w:tabs>
        <w:tab w:val="clear" w:pos="2404"/>
        <w:tab w:val="num" w:pos="900"/>
      </w:tabs>
      <w:spacing w:before="160"/>
      <w:ind w:hanging="1831"/>
    </w:pPr>
    <w:rPr>
      <w:b/>
      <w:i/>
    </w:rPr>
  </w:style>
  <w:style w:type="paragraph" w:customStyle="1" w:styleId="Style111khcnvnBefore6pt">
    <w:name w:val="Style 1.1.1 khcnvn + Before:  6 pt"/>
    <w:basedOn w:val="111khcnvn"/>
    <w:rsid w:val="00A50899"/>
    <w:pPr>
      <w:spacing w:before="120"/>
    </w:pPr>
    <w:rPr>
      <w:rFonts w:eastAsia="Times New Roman"/>
      <w:iCs/>
      <w:spacing w:val="-6"/>
      <w:szCs w:val="20"/>
    </w:rPr>
  </w:style>
  <w:style w:type="paragraph" w:customStyle="1" w:styleId="muctieu">
    <w:name w:val="muc tieu"/>
    <w:basedOn w:val="Normal"/>
    <w:rsid w:val="00A50899"/>
    <w:pPr>
      <w:spacing w:before="200" w:line="271" w:lineRule="auto"/>
      <w:jc w:val="both"/>
    </w:pPr>
    <w:rPr>
      <w:rFonts w:ascii="Arial" w:hAnsi="Arial" w:cs="Arial"/>
      <w:sz w:val="20"/>
      <w:szCs w:val="20"/>
    </w:rPr>
  </w:style>
  <w:style w:type="paragraph" w:customStyle="1" w:styleId="Style11khcnvnLeft0cmHanging116cm">
    <w:name w:val="Style 1.1 khcnvn + Left:  0 cm Hanging:  1.16 cm"/>
    <w:basedOn w:val="11khcnvn"/>
    <w:rsid w:val="00A50899"/>
    <w:rPr>
      <w:rFonts w:eastAsia="Times New Roman"/>
      <w:szCs w:val="20"/>
    </w:rPr>
  </w:style>
  <w:style w:type="paragraph" w:customStyle="1" w:styleId="nguon">
    <w:name w:val="nguon"/>
    <w:basedOn w:val="Stylenguon01LeftBefore5ptAfter0ptLinespacing"/>
    <w:rsid w:val="00A50899"/>
    <w:pPr>
      <w:jc w:val="right"/>
    </w:pPr>
    <w:rPr>
      <w:i/>
    </w:rPr>
  </w:style>
  <w:style w:type="paragraph" w:customStyle="1" w:styleId="11">
    <w:name w:val="1.1"/>
    <w:basedOn w:val="11khcnvn"/>
    <w:rsid w:val="00A50899"/>
    <w:pPr>
      <w:spacing w:before="280"/>
    </w:pPr>
    <w:rPr>
      <w:szCs w:val="26"/>
    </w:rPr>
  </w:style>
  <w:style w:type="paragraph" w:customStyle="1" w:styleId="111">
    <w:name w:val="1.1.1"/>
    <w:basedOn w:val="111khcnvn"/>
    <w:rsid w:val="00A50899"/>
    <w:pPr>
      <w:spacing w:line="288" w:lineRule="auto"/>
    </w:pPr>
  </w:style>
  <w:style w:type="paragraph" w:customStyle="1" w:styleId="StyleStyleBang212ptBoldCustomColorRGB011219211pt">
    <w:name w:val="Style Style Bang2 + 12 pt Bold Custom Color(RGB(0112192)) + 11 pt"/>
    <w:basedOn w:val="StyleBang212ptBoldCustomColorRGB0112192"/>
    <w:rsid w:val="00A50899"/>
    <w:rPr>
      <w:sz w:val="22"/>
    </w:rPr>
  </w:style>
  <w:style w:type="paragraph" w:customStyle="1" w:styleId="Iaril">
    <w:name w:val="I aril"/>
    <w:basedOn w:val="StyleStyleBang212ptBoldCustomColorRGB011219211pt"/>
    <w:rsid w:val="00A50899"/>
    <w:pPr>
      <w:spacing w:before="240" w:after="120"/>
      <w:jc w:val="both"/>
    </w:pPr>
    <w:rPr>
      <w:sz w:val="21"/>
    </w:rPr>
  </w:style>
  <w:style w:type="paragraph" w:styleId="EndnoteText">
    <w:name w:val="endnote text"/>
    <w:basedOn w:val="Normal"/>
    <w:link w:val="EndnoteTextChar"/>
    <w:semiHidden/>
    <w:rsid w:val="00A50899"/>
    <w:rPr>
      <w:sz w:val="20"/>
      <w:szCs w:val="20"/>
    </w:rPr>
  </w:style>
  <w:style w:type="character" w:customStyle="1" w:styleId="EndnoteTextChar">
    <w:name w:val="Endnote Text Char"/>
    <w:basedOn w:val="DefaultParagraphFont"/>
    <w:link w:val="EndnoteText"/>
    <w:semiHidden/>
    <w:rsid w:val="00A50899"/>
    <w:rPr>
      <w:rFonts w:ascii="Times New Roman" w:eastAsia="Times New Roman" w:hAnsi="Times New Roman" w:cs="Times New Roman"/>
      <w:sz w:val="20"/>
      <w:szCs w:val="20"/>
    </w:rPr>
  </w:style>
  <w:style w:type="character" w:styleId="EndnoteReference">
    <w:name w:val="endnote reference"/>
    <w:semiHidden/>
    <w:rsid w:val="00A50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data.worldbank.org/indicator/SP.POP.SCIE.RD.P6" TargetMode="External"/><Relationship Id="rId26" Type="http://schemas.openxmlformats.org/officeDocument/2006/relationships/hyperlink" Target="http://data.worldbank.org/indicator/GB.XPD.RSDV.GD.ZS" TargetMode="Externa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http://data.worldbank.org/indicator/SP.POP.SCIE.RD.P6" TargetMode="External"/><Relationship Id="rId25"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hyperlink" Target="http://stats.oecd.org/Index.aspx?DataSetCode" TargetMode="External"/><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ec.europa.eu/"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data.worldbank.org/indicator/SP.POP.SCIE.RD.P6" TargetMode="External"/><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hyperlink" Target="http://ec.europa.eu/eurostat/statistics-explained/images/"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stats.oecd.org"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webometrics.info/" TargetMode="External"/><Relationship Id="rId1" Type="http://schemas.openxmlformats.org/officeDocument/2006/relationships/hyperlink" Target="http://www.webometrics.info/en/Asia?page=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26</Pages>
  <Words>7328</Words>
  <Characters>41774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2017-05-08T09:38:00Z</dcterms:created>
  <dcterms:modified xsi:type="dcterms:W3CDTF">2017-05-08T09:55:00Z</dcterms:modified>
</cp:coreProperties>
</file>