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20" w:rsidRPr="0072235E" w:rsidRDefault="00DA5F20" w:rsidP="00DA5F20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DANH MỤC NHIỆM VỤ KHOA HỌC VÀ CÔNG NGHỆ CẤP QUỐC GIA </w:t>
      </w:r>
    </w:p>
    <w:p w:rsidR="00DA5F20" w:rsidRPr="0072235E" w:rsidRDefault="00DA5F20" w:rsidP="00DA5F20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TUYỂN CHỌN BẮT ĐẦU THỰC </w:t>
      </w:r>
      <w:r>
        <w:rPr>
          <w:rFonts w:ascii="Times New Roman" w:hAnsi="Times New Roman"/>
          <w:b/>
          <w:sz w:val="26"/>
          <w:szCs w:val="26"/>
          <w:lang/>
        </w:rPr>
        <w:t>HIỆN NĂM 202</w:t>
      </w:r>
      <w:r w:rsidR="007308C2">
        <w:rPr>
          <w:rFonts w:ascii="Times New Roman" w:hAnsi="Times New Roman"/>
          <w:b/>
          <w:sz w:val="26"/>
          <w:szCs w:val="26"/>
          <w:lang/>
        </w:rPr>
        <w:t>1</w:t>
      </w:r>
    </w:p>
    <w:p w:rsidR="00DA5F20" w:rsidRPr="0072235E" w:rsidRDefault="00DA5F20" w:rsidP="00DA5F20">
      <w:pPr>
        <w:jc w:val="center"/>
        <w:rPr>
          <w:rFonts w:ascii="Times New Roman" w:hAnsi="Times New Roman"/>
          <w:i/>
          <w:sz w:val="26"/>
          <w:szCs w:val="26"/>
          <w:lang/>
        </w:rPr>
      </w:pPr>
      <w:r w:rsidRPr="0072235E">
        <w:rPr>
          <w:rFonts w:ascii="Times New Roman" w:hAnsi="Times New Roman"/>
          <w:i/>
          <w:sz w:val="26"/>
          <w:szCs w:val="26"/>
          <w:lang/>
        </w:rPr>
        <w:t>(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Kèm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theo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Quyết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định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số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r w:rsidR="00863ED3">
        <w:rPr>
          <w:rFonts w:ascii="Times New Roman" w:hAnsi="Times New Roman"/>
          <w:i/>
          <w:sz w:val="26"/>
          <w:szCs w:val="26"/>
        </w:rPr>
        <w:t>2353</w:t>
      </w:r>
      <w:r w:rsidRPr="0072235E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BKHCN-KHTC</w:t>
      </w:r>
      <w:r w:rsidRPr="0072235E">
        <w:rPr>
          <w:rFonts w:ascii="Times New Roman" w:hAnsi="Times New Roman"/>
          <w:i/>
          <w:sz w:val="26"/>
          <w:szCs w:val="26"/>
        </w:rPr>
        <w:t xml:space="preserve"> 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ngày </w:t>
      </w:r>
      <w:r w:rsidR="00863ED3">
        <w:rPr>
          <w:rFonts w:ascii="Times New Roman" w:hAnsi="Times New Roman"/>
          <w:i/>
          <w:sz w:val="26"/>
          <w:szCs w:val="26"/>
        </w:rPr>
        <w:t>27</w:t>
      </w:r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r w:rsidR="00863ED3">
        <w:rPr>
          <w:rFonts w:ascii="Times New Roman" w:hAnsi="Times New Roman"/>
          <w:i/>
          <w:sz w:val="26"/>
          <w:szCs w:val="26"/>
        </w:rPr>
        <w:t xml:space="preserve">8 </w:t>
      </w:r>
      <w:proofErr w:type="spellStart"/>
      <w:r w:rsidRPr="0072235E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72235E">
        <w:rPr>
          <w:rFonts w:ascii="Times New Roman" w:hAnsi="Times New Roman"/>
          <w:i/>
          <w:sz w:val="26"/>
          <w:szCs w:val="26"/>
        </w:rPr>
        <w:t xml:space="preserve">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>20</w:t>
      </w:r>
      <w:r>
        <w:rPr>
          <w:rFonts w:ascii="Times New Roman" w:hAnsi="Times New Roman"/>
          <w:i/>
          <w:sz w:val="26"/>
          <w:szCs w:val="26"/>
        </w:rPr>
        <w:t>2</w:t>
      </w:r>
      <w:r w:rsidR="00863ED3">
        <w:rPr>
          <w:rFonts w:ascii="Times New Roman" w:hAnsi="Times New Roman"/>
          <w:i/>
          <w:sz w:val="26"/>
          <w:szCs w:val="26"/>
        </w:rPr>
        <w:t>0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proofErr w:type="spellStart"/>
      <w:r w:rsidRPr="0072235E">
        <w:rPr>
          <w:rFonts w:ascii="Times New Roman" w:hAnsi="Times New Roman"/>
          <w:i/>
          <w:sz w:val="26"/>
          <w:szCs w:val="26"/>
          <w:lang/>
        </w:rPr>
        <w:t>của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Bộ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Khoa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và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/>
        </w:rPr>
        <w:t>nghệ</w:t>
      </w:r>
      <w:proofErr w:type="spellEnd"/>
      <w:r w:rsidRPr="0072235E">
        <w:rPr>
          <w:rFonts w:ascii="Times New Roman" w:hAnsi="Times New Roman"/>
          <w:i/>
          <w:sz w:val="26"/>
          <w:szCs w:val="26"/>
          <w:lang/>
        </w:rPr>
        <w:t>)</w:t>
      </w:r>
    </w:p>
    <w:p w:rsidR="00E77905" w:rsidRPr="003B6C59" w:rsidRDefault="00E77905" w:rsidP="00E77905">
      <w:pPr>
        <w:jc w:val="center"/>
        <w:rPr>
          <w:rFonts w:ascii="Times New Roman" w:hAnsi="Times New Roman"/>
          <w:lang/>
        </w:rPr>
      </w:pPr>
    </w:p>
    <w:tbl>
      <w:tblPr>
        <w:tblW w:w="14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268"/>
        <w:gridCol w:w="3289"/>
        <w:gridCol w:w="5925"/>
        <w:gridCol w:w="1559"/>
        <w:gridCol w:w="738"/>
      </w:tblGrid>
      <w:tr w:rsidR="00E77905" w:rsidTr="00BD69B0">
        <w:tc>
          <w:tcPr>
            <w:tcW w:w="850" w:type="dxa"/>
            <w:vAlign w:val="center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TT</w:t>
            </w:r>
          </w:p>
        </w:tc>
        <w:tc>
          <w:tcPr>
            <w:tcW w:w="2268" w:type="dxa"/>
            <w:vAlign w:val="center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</w:p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KH&amp;CN)</w:t>
            </w:r>
          </w:p>
        </w:tc>
        <w:tc>
          <w:tcPr>
            <w:tcW w:w="3289" w:type="dxa"/>
            <w:vAlign w:val="center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tiêu</w:t>
            </w:r>
            <w:proofErr w:type="spellEnd"/>
          </w:p>
        </w:tc>
        <w:tc>
          <w:tcPr>
            <w:tcW w:w="5925" w:type="dxa"/>
            <w:vAlign w:val="center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*</w:t>
            </w:r>
          </w:p>
        </w:tc>
        <w:tc>
          <w:tcPr>
            <w:tcW w:w="1559" w:type="dxa"/>
            <w:vAlign w:val="center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thức</w:t>
            </w:r>
            <w:proofErr w:type="spellEnd"/>
          </w:p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chức</w:t>
            </w:r>
            <w:proofErr w:type="spellEnd"/>
          </w:p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hiện</w:t>
            </w:r>
            <w:proofErr w:type="spellEnd"/>
          </w:p>
        </w:tc>
        <w:tc>
          <w:tcPr>
            <w:tcW w:w="738" w:type="dxa"/>
            <w:vAlign w:val="center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</w:rPr>
              <w:t>chú</w:t>
            </w:r>
            <w:proofErr w:type="spellEnd"/>
          </w:p>
        </w:tc>
      </w:tr>
      <w:tr w:rsidR="00E77905" w:rsidTr="00BD69B0">
        <w:tc>
          <w:tcPr>
            <w:tcW w:w="850" w:type="dxa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2</w:t>
            </w:r>
          </w:p>
        </w:tc>
        <w:tc>
          <w:tcPr>
            <w:tcW w:w="3289" w:type="dxa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3</w:t>
            </w:r>
          </w:p>
        </w:tc>
        <w:tc>
          <w:tcPr>
            <w:tcW w:w="5925" w:type="dxa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5</w:t>
            </w:r>
          </w:p>
        </w:tc>
        <w:tc>
          <w:tcPr>
            <w:tcW w:w="738" w:type="dxa"/>
          </w:tcPr>
          <w:p w:rsidR="00E77905" w:rsidRDefault="00E77905" w:rsidP="0051688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6</w:t>
            </w:r>
          </w:p>
        </w:tc>
      </w:tr>
      <w:tr w:rsidR="00E77905" w:rsidTr="00BD69B0">
        <w:tc>
          <w:tcPr>
            <w:tcW w:w="850" w:type="dxa"/>
          </w:tcPr>
          <w:p w:rsidR="00E77905" w:rsidRDefault="00DA5F20" w:rsidP="00E7790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77905" w:rsidRPr="00BD69B0" w:rsidRDefault="00E77905" w:rsidP="007308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9B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Nghiên cứu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mặn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IoT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sinh hoạt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người dân vùng bị xâm nhập mặn tỉnh Bến Tre và một số</w:t>
            </w:r>
            <w:r w:rsidR="00DA5F2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</w:t>
            </w:r>
            <w:r w:rsidRPr="00BD69B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ỉnh </w:t>
            </w:r>
            <w:proofErr w:type="spellStart"/>
            <w:r w:rsidRPr="00BD69B0">
              <w:rPr>
                <w:rFonts w:ascii="Times New Roman" w:hAnsi="Times New Roman"/>
                <w:sz w:val="26"/>
                <w:szCs w:val="26"/>
              </w:rPr>
              <w:t>lân</w:t>
            </w:r>
            <w:proofErr w:type="spellEnd"/>
            <w:r w:rsidRPr="00BD69B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cận.</w:t>
            </w:r>
          </w:p>
        </w:tc>
        <w:tc>
          <w:tcPr>
            <w:tcW w:w="3289" w:type="dxa"/>
          </w:tcPr>
          <w:p w:rsidR="00E77905" w:rsidRPr="00BD69B0" w:rsidRDefault="00E77905" w:rsidP="007308C2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- Làm chủ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công nghệ xử lý nước nhiễm mặn tích hợp IoT quy mô tập trung với hiệu suất xử lý cao, tăng độ bền và giá thành phù hợp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E77905" w:rsidRPr="00BD69B0" w:rsidRDefault="00E77905" w:rsidP="007308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Nghiên cứu, hoàn thiện công nghệ,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dựng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hệ thống xử lý nhiễm mặn ở quy mô tập trung để cấp nước sinh hoạt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người dân vùng bị xâm nhập mặn tỉnh Bến Tre và một số tỉn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lân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cận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25" w:type="dxa"/>
          </w:tcPr>
          <w:p w:rsidR="00E77905" w:rsidRPr="00BD69B0" w:rsidRDefault="00E77905" w:rsidP="007308C2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- Quy trình công nghệ xử lý nước nhiễm mặn tích hợp IoT quy mô tập trung phù hợp với địa bàn tỉnh Bến Tre và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tỉnh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lân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cận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E77905" w:rsidRPr="00BD69B0" w:rsidRDefault="00E77905" w:rsidP="007308C2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- Bộ hồ sơ thiết kế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kỹ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thuật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vận hành và bảo trì thiết bị xử lý nước nhiễm mặn tích hợp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IoT</w:t>
            </w:r>
            <w:r w:rsidRPr="00BD69B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quy mô tập trung </w:t>
            </w:r>
            <w:r w:rsidRPr="00BD69B0">
              <w:rPr>
                <w:rFonts w:ascii="Times New Roman" w:hAnsi="Times New Roman"/>
                <w:sz w:val="26"/>
                <w:szCs w:val="26"/>
              </w:rPr>
              <w:t>5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00 m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it-IT"/>
              </w:rPr>
              <w:t>3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/ngày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đêm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E77905" w:rsidRPr="004B4CA6" w:rsidRDefault="00E77905" w:rsidP="007308C2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- Mô hình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xử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lý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nhiễm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mặn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ứng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IoT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quá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quản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lý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công suất 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00 m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it-IT"/>
              </w:rPr>
              <w:t>3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/ngày</w:t>
            </w:r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đêm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hiệu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suất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thu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đạt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tối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thiểu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50%</w:t>
            </w: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. Đảm bảo chất lượng nước sau xử lý đạt yêu cầu cấp nước cho sinh hoạt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hiện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BD69B0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E77905" w:rsidRPr="00BD69B0" w:rsidRDefault="00E77905" w:rsidP="007308C2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Đăng ký sở hữu trí tuệ: 01 (được chấp nhận đơn);</w:t>
            </w:r>
          </w:p>
          <w:p w:rsidR="00E77905" w:rsidRPr="00BD69B0" w:rsidRDefault="00E77905" w:rsidP="007308C2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eastAsia="zh-CN" w:bidi="hi-IN"/>
              </w:rPr>
            </w:pPr>
            <w:r w:rsidRPr="00BD69B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C</w:t>
            </w:r>
            <w:r w:rsidRPr="00BD69B0"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val="it-IT" w:eastAsia="zh-CN" w:bidi="hi-IN"/>
              </w:rPr>
              <w:t>ông bố kết quả nghiên cứu: 0</w:t>
            </w:r>
            <w:r w:rsidRPr="00BD69B0"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eastAsia="zh-CN" w:bidi="hi-IN"/>
              </w:rPr>
              <w:t>1</w:t>
            </w:r>
            <w:r w:rsidRPr="00BD69B0"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val="it-IT" w:eastAsia="zh-CN" w:bidi="hi-IN"/>
              </w:rPr>
              <w:t xml:space="preserve"> bài báo trên tạp chí quốc tế thuộc danh mục SCI/SCI-E</w:t>
            </w:r>
            <w:r w:rsidRPr="00BD69B0"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eastAsia="zh-CN" w:bidi="hi-IN"/>
              </w:rPr>
              <w:t>/Scopus</w:t>
            </w:r>
            <w:r w:rsidRPr="00BD69B0"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val="it-IT" w:eastAsia="zh-CN" w:bidi="hi-IN"/>
              </w:rPr>
              <w:t xml:space="preserve"> và 02 bài báo trên tạp chí khoa học chuyên ngành</w:t>
            </w:r>
            <w:r w:rsidRPr="00BD69B0">
              <w:rPr>
                <w:rFonts w:ascii="Times New Roman" w:eastAsia="WenQuanYi Micro Hei" w:hAnsi="Times New Roman"/>
                <w:bCs/>
                <w:kern w:val="1"/>
                <w:sz w:val="26"/>
                <w:szCs w:val="26"/>
                <w:lang w:eastAsia="zh-CN" w:bidi="hi-IN"/>
              </w:rPr>
              <w:t>;</w:t>
            </w:r>
          </w:p>
          <w:p w:rsidR="00E77905" w:rsidRPr="00BD69B0" w:rsidRDefault="00E77905" w:rsidP="007308C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9B0">
              <w:rPr>
                <w:rFonts w:ascii="Times New Roman" w:eastAsia="WenQuanYi Micro Hei" w:hAnsi="Times New Roman"/>
                <w:iCs/>
                <w:kern w:val="1"/>
                <w:sz w:val="26"/>
                <w:szCs w:val="26"/>
                <w:lang w:val="it-IT" w:eastAsia="zh-CN" w:bidi="hi-IN"/>
              </w:rPr>
              <w:t>- Tham gia đào tạo: 02 Thạc sĩ</w:t>
            </w:r>
            <w:r w:rsidRPr="00BD69B0">
              <w:rPr>
                <w:rFonts w:ascii="Times New Roman" w:eastAsia="WenQuanYi Micro Hei" w:hAnsi="Times New Roman"/>
                <w:iCs/>
                <w:kern w:val="1"/>
                <w:sz w:val="26"/>
                <w:szCs w:val="26"/>
                <w:lang w:eastAsia="zh-CN" w:bidi="hi-IN"/>
              </w:rPr>
              <w:t>.</w:t>
            </w:r>
            <w:r w:rsidRPr="00BD69B0">
              <w:rPr>
                <w:rFonts w:ascii="Times New Roman" w:eastAsia="WenQuanYi Micro Hei" w:hAnsi="Times New Roman"/>
                <w:iCs/>
                <w:kern w:val="1"/>
                <w:sz w:val="26"/>
                <w:szCs w:val="26"/>
                <w:lang w:val="it-IT" w:eastAsia="zh-CN" w:bidi="hi-IN"/>
              </w:rPr>
              <w:t xml:space="preserve"> </w:t>
            </w:r>
          </w:p>
        </w:tc>
        <w:tc>
          <w:tcPr>
            <w:tcW w:w="1559" w:type="dxa"/>
          </w:tcPr>
          <w:p w:rsidR="00E77905" w:rsidRPr="00BA46E3" w:rsidRDefault="00E77905" w:rsidP="00E77905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A46E3">
              <w:rPr>
                <w:rFonts w:ascii="Times New Roman" w:hAnsi="Times New Roman"/>
                <w:color w:val="000000"/>
                <w:sz w:val="26"/>
                <w:szCs w:val="26"/>
              </w:rPr>
              <w:t>Tuyển</w:t>
            </w:r>
            <w:proofErr w:type="spellEnd"/>
            <w:r w:rsidRPr="00BA4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6E3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738" w:type="dxa"/>
          </w:tcPr>
          <w:p w:rsidR="00E77905" w:rsidRDefault="00E77905" w:rsidP="00E77905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77905" w:rsidRDefault="00E77905" w:rsidP="00E77905">
      <w:pPr>
        <w:ind w:left="36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</w:t>
      </w:r>
    </w:p>
    <w:p w:rsidR="00E77905" w:rsidRDefault="00E77905" w:rsidP="00E77905">
      <w:pPr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</w:rPr>
        <w:t xml:space="preserve">                   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</w:p>
    <w:p w:rsidR="00E77905" w:rsidRDefault="00E77905" w:rsidP="00E77905"/>
    <w:p w:rsidR="00E77905" w:rsidRDefault="00E77905" w:rsidP="00E77905"/>
    <w:p w:rsidR="00E77905" w:rsidRDefault="00E77905" w:rsidP="00E77905"/>
    <w:p w:rsidR="004E1879" w:rsidRDefault="004E1879"/>
    <w:sectPr w:rsidR="004E1879" w:rsidSect="00BA46E3">
      <w:pgSz w:w="16840" w:h="11907" w:orient="landscape"/>
      <w:pgMar w:top="851" w:right="624" w:bottom="851" w:left="907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77905"/>
    <w:rsid w:val="003755A7"/>
    <w:rsid w:val="004B4CA6"/>
    <w:rsid w:val="004D4266"/>
    <w:rsid w:val="004D53AB"/>
    <w:rsid w:val="004E1879"/>
    <w:rsid w:val="005944F3"/>
    <w:rsid w:val="007308C2"/>
    <w:rsid w:val="007822CC"/>
    <w:rsid w:val="00863ED3"/>
    <w:rsid w:val="00A3492B"/>
    <w:rsid w:val="00BB6641"/>
    <w:rsid w:val="00BD69B0"/>
    <w:rsid w:val="00CE3F7C"/>
    <w:rsid w:val="00D72B60"/>
    <w:rsid w:val="00DA5F20"/>
    <w:rsid w:val="00E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05"/>
    <w:pPr>
      <w:spacing w:before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9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Administrator</cp:lastModifiedBy>
  <cp:revision>6</cp:revision>
  <cp:lastPrinted>2020-08-26T02:36:00Z</cp:lastPrinted>
  <dcterms:created xsi:type="dcterms:W3CDTF">2020-08-12T08:23:00Z</dcterms:created>
  <dcterms:modified xsi:type="dcterms:W3CDTF">2020-09-01T04:02:00Z</dcterms:modified>
</cp:coreProperties>
</file>