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307" w:type="dxa"/>
        <w:tblLook w:val="01E0" w:firstRow="1" w:lastRow="1" w:firstColumn="1" w:lastColumn="1" w:noHBand="0" w:noVBand="0"/>
      </w:tblPr>
      <w:tblGrid>
        <w:gridCol w:w="5698"/>
      </w:tblGrid>
      <w:tr w:rsidR="00CE1335" w:rsidRPr="00552CD5">
        <w:tc>
          <w:tcPr>
            <w:tcW w:w="5700" w:type="dxa"/>
          </w:tcPr>
          <w:p w:rsidR="00CE1335" w:rsidRPr="00552CD5" w:rsidRDefault="00CE1335" w:rsidP="00CE1335">
            <w:pPr>
              <w:spacing w:line="276" w:lineRule="auto"/>
              <w:jc w:val="center"/>
              <w:rPr>
                <w:b/>
                <w:sz w:val="24"/>
                <w:szCs w:val="24"/>
              </w:rPr>
            </w:pPr>
            <w:bookmarkStart w:id="0" w:name="_GoBack"/>
            <w:bookmarkEnd w:id="0"/>
            <w:r w:rsidRPr="00552CD5">
              <w:rPr>
                <w:b/>
                <w:sz w:val="24"/>
                <w:szCs w:val="24"/>
                <w:lang w:val="vi-VN"/>
              </w:rPr>
              <w:t>Mẫu số</w:t>
            </w:r>
            <w:r w:rsidRPr="00552CD5">
              <w:rPr>
                <w:b/>
                <w:sz w:val="24"/>
                <w:szCs w:val="24"/>
              </w:rPr>
              <w:t>:</w:t>
            </w:r>
            <w:r w:rsidRPr="00552CD5">
              <w:rPr>
                <w:b/>
                <w:sz w:val="24"/>
                <w:szCs w:val="24"/>
                <w:lang w:val="vi-VN"/>
              </w:rPr>
              <w:t xml:space="preserve"> 0</w:t>
            </w:r>
            <w:r w:rsidRPr="00552CD5">
              <w:rPr>
                <w:b/>
                <w:sz w:val="24"/>
                <w:szCs w:val="24"/>
              </w:rPr>
              <w:t>2</w:t>
            </w:r>
          </w:p>
          <w:p w:rsidR="00CE1335" w:rsidRPr="00552CD5" w:rsidRDefault="00CE1335" w:rsidP="00CE1335">
            <w:pPr>
              <w:spacing w:line="276" w:lineRule="auto"/>
              <w:jc w:val="center"/>
              <w:rPr>
                <w:sz w:val="24"/>
                <w:szCs w:val="24"/>
              </w:rPr>
            </w:pPr>
            <w:r w:rsidRPr="00552CD5">
              <w:rPr>
                <w:sz w:val="24"/>
                <w:szCs w:val="24"/>
                <w:lang w:val="vi-VN"/>
              </w:rPr>
              <w:t>Ban hành kèm theo Thông tư số</w:t>
            </w:r>
            <w:r w:rsidRPr="00552CD5">
              <w:rPr>
                <w:sz w:val="24"/>
                <w:szCs w:val="24"/>
              </w:rPr>
              <w:t xml:space="preserve">  13/2014/TT-BTP</w:t>
            </w:r>
            <w:r w:rsidRPr="00552CD5">
              <w:rPr>
                <w:sz w:val="24"/>
                <w:szCs w:val="24"/>
                <w:lang w:val="vi-VN"/>
              </w:rPr>
              <w:t xml:space="preserve"> </w:t>
            </w:r>
          </w:p>
          <w:p w:rsidR="00CE1335" w:rsidRPr="00552CD5" w:rsidRDefault="00CE1335" w:rsidP="00CE1335">
            <w:pPr>
              <w:spacing w:line="276" w:lineRule="auto"/>
              <w:jc w:val="center"/>
              <w:rPr>
                <w:sz w:val="24"/>
                <w:szCs w:val="24"/>
              </w:rPr>
            </w:pPr>
            <w:r w:rsidRPr="00552CD5">
              <w:rPr>
                <w:sz w:val="24"/>
                <w:szCs w:val="24"/>
                <w:lang w:val="vi-VN"/>
              </w:rPr>
              <w:t>ngày</w:t>
            </w:r>
            <w:r w:rsidRPr="00552CD5">
              <w:rPr>
                <w:sz w:val="24"/>
                <w:szCs w:val="24"/>
              </w:rPr>
              <w:t xml:space="preserve">   29</w:t>
            </w:r>
            <w:r w:rsidRPr="00552CD5">
              <w:rPr>
                <w:sz w:val="24"/>
                <w:szCs w:val="24"/>
                <w:lang w:val="vi-VN"/>
              </w:rPr>
              <w:t>/</w:t>
            </w:r>
            <w:r w:rsidRPr="00552CD5">
              <w:rPr>
                <w:sz w:val="24"/>
                <w:szCs w:val="24"/>
              </w:rPr>
              <w:t>4</w:t>
            </w:r>
            <w:r w:rsidRPr="00552CD5">
              <w:rPr>
                <w:sz w:val="24"/>
                <w:szCs w:val="24"/>
                <w:lang w:val="vi-VN"/>
              </w:rPr>
              <w:t>/</w:t>
            </w:r>
            <w:r w:rsidRPr="00552CD5">
              <w:rPr>
                <w:sz w:val="24"/>
                <w:szCs w:val="24"/>
              </w:rPr>
              <w:t>2014</w:t>
            </w:r>
            <w:r w:rsidRPr="00552CD5">
              <w:rPr>
                <w:sz w:val="24"/>
                <w:szCs w:val="24"/>
                <w:lang w:val="vi-VN"/>
              </w:rPr>
              <w:t xml:space="preserve"> của Bộ trưởng Bộ Tư pháp hướng dẫn</w:t>
            </w:r>
            <w:r w:rsidRPr="00552CD5">
              <w:rPr>
                <w:sz w:val="24"/>
                <w:szCs w:val="24"/>
              </w:rPr>
              <w:t xml:space="preserve"> </w:t>
            </w:r>
            <w:r w:rsidRPr="00552CD5">
              <w:rPr>
                <w:sz w:val="24"/>
                <w:szCs w:val="24"/>
                <w:lang w:val="vi-VN"/>
              </w:rPr>
              <w:t>việc</w:t>
            </w:r>
            <w:r w:rsidRPr="00552CD5">
              <w:rPr>
                <w:sz w:val="24"/>
                <w:szCs w:val="24"/>
              </w:rPr>
              <w:t xml:space="preserve"> </w:t>
            </w:r>
            <w:r w:rsidRPr="00552CD5">
              <w:rPr>
                <w:sz w:val="24"/>
                <w:szCs w:val="24"/>
                <w:lang w:val="vi-VN"/>
              </w:rPr>
              <w:t>thực hiện pháp điển hệ thống quy phạm pháp luật.</w:t>
            </w:r>
          </w:p>
        </w:tc>
      </w:tr>
    </w:tbl>
    <w:p w:rsidR="00CE1335" w:rsidRPr="00552CD5" w:rsidRDefault="00CE1335" w:rsidP="00CE1335">
      <w:pPr>
        <w:spacing w:line="276" w:lineRule="auto"/>
        <w:ind w:right="-13"/>
        <w:jc w:val="center"/>
        <w:rPr>
          <w:b/>
          <w:lang w:val="vi-VN"/>
        </w:rPr>
      </w:pPr>
    </w:p>
    <w:p w:rsidR="00CE1335" w:rsidRPr="00552CD5" w:rsidRDefault="00CE1335" w:rsidP="00CE1335">
      <w:pPr>
        <w:spacing w:line="276" w:lineRule="auto"/>
        <w:jc w:val="center"/>
        <w:outlineLvl w:val="0"/>
        <w:rPr>
          <w:b/>
          <w:lang w:val="vi-VN"/>
        </w:rPr>
      </w:pPr>
      <w:r w:rsidRPr="00552CD5">
        <w:rPr>
          <w:b/>
          <w:lang w:val="vi-VN"/>
        </w:rPr>
        <w:t>DANH MỤC</w:t>
      </w:r>
    </w:p>
    <w:p w:rsidR="00CE1335" w:rsidRPr="00552CD5" w:rsidRDefault="00CE1335" w:rsidP="00CE1335">
      <w:pPr>
        <w:spacing w:line="276" w:lineRule="auto"/>
        <w:jc w:val="center"/>
        <w:rPr>
          <w:b/>
          <w:lang w:val="vi-VN"/>
        </w:rPr>
      </w:pPr>
      <w:r w:rsidRPr="00552CD5">
        <w:rPr>
          <w:b/>
          <w:lang w:val="vi-VN"/>
        </w:rPr>
        <w:t xml:space="preserve">CÁC VĂN BẢN ĐÃ ĐƯỢC THU THẬP ĐỂ PHÁP ĐIỂN ĐỐI VỚI </w:t>
      </w:r>
    </w:p>
    <w:p w:rsidR="00CE1335" w:rsidRPr="00BC30D3" w:rsidRDefault="00CE1335" w:rsidP="00E064D1">
      <w:pPr>
        <w:spacing w:line="276" w:lineRule="auto"/>
        <w:jc w:val="center"/>
        <w:rPr>
          <w:b/>
        </w:rPr>
      </w:pPr>
      <w:r w:rsidRPr="00552CD5">
        <w:rPr>
          <w:b/>
          <w:lang w:val="vi-VN"/>
        </w:rPr>
        <w:t xml:space="preserve">ĐỀ MỤC </w:t>
      </w:r>
      <w:r w:rsidR="00BC30D3">
        <w:rPr>
          <w:b/>
        </w:rPr>
        <w:t>NĂNG LƯỢNG NGUYÊN TỬ</w:t>
      </w:r>
    </w:p>
    <w:p w:rsidR="00E064D1" w:rsidRPr="00E064D1" w:rsidRDefault="00E064D1" w:rsidP="00E064D1">
      <w:pPr>
        <w:spacing w:line="276" w:lineRule="auto"/>
        <w:jc w:val="center"/>
        <w:rPr>
          <w:b/>
        </w:rPr>
      </w:pPr>
    </w:p>
    <w:p w:rsidR="00CE1335" w:rsidRPr="00076008" w:rsidRDefault="00CE1335" w:rsidP="00B31F7F">
      <w:pPr>
        <w:spacing w:before="120" w:line="276" w:lineRule="auto"/>
        <w:jc w:val="both"/>
        <w:rPr>
          <w:b/>
          <w:lang w:val="vi-VN"/>
        </w:rPr>
      </w:pPr>
      <w:r w:rsidRPr="00552CD5">
        <w:rPr>
          <w:b/>
          <w:lang w:val="vi-VN"/>
        </w:rPr>
        <w:t>I. CÁC VĂN BẢN THUỘC NỘI DUNG CỦA ĐỀ MỤC</w:t>
      </w:r>
    </w:p>
    <w:p w:rsidR="00CE1335" w:rsidRPr="00552CD5" w:rsidRDefault="00CE1335" w:rsidP="00CE1335">
      <w:pPr>
        <w:spacing w:line="276" w:lineRule="auto"/>
        <w:jc w:val="both"/>
        <w:rPr>
          <w:b/>
          <w:sz w:val="16"/>
          <w:szCs w:val="16"/>
          <w:lang w:val="vi-VN"/>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6629"/>
        <w:gridCol w:w="4204"/>
        <w:gridCol w:w="2186"/>
      </w:tblGrid>
      <w:tr w:rsidR="00B8323F" w:rsidRPr="00552CD5" w:rsidTr="00B8323F">
        <w:trPr>
          <w:trHeight w:val="1389"/>
          <w:tblHeader/>
        </w:trPr>
        <w:tc>
          <w:tcPr>
            <w:tcW w:w="938" w:type="dxa"/>
            <w:vAlign w:val="center"/>
          </w:tcPr>
          <w:p w:rsidR="00DE41D0" w:rsidRPr="00A93585" w:rsidRDefault="00C079AD" w:rsidP="00DE41D0">
            <w:pPr>
              <w:jc w:val="center"/>
              <w:rPr>
                <w:b/>
                <w:sz w:val="24"/>
                <w:szCs w:val="24"/>
              </w:rPr>
            </w:pPr>
            <w:r w:rsidRPr="00A93585">
              <w:rPr>
                <w:b/>
                <w:sz w:val="24"/>
                <w:szCs w:val="24"/>
              </w:rPr>
              <w:t>STT</w:t>
            </w:r>
          </w:p>
        </w:tc>
        <w:tc>
          <w:tcPr>
            <w:tcW w:w="6511" w:type="dxa"/>
            <w:vAlign w:val="center"/>
          </w:tcPr>
          <w:p w:rsidR="00CE1335" w:rsidRPr="00552CD5" w:rsidRDefault="00CE1335" w:rsidP="00CE1335">
            <w:pPr>
              <w:spacing w:line="276" w:lineRule="auto"/>
              <w:jc w:val="center"/>
              <w:rPr>
                <w:b/>
                <w:sz w:val="24"/>
                <w:szCs w:val="24"/>
              </w:rPr>
            </w:pPr>
            <w:r w:rsidRPr="00552CD5">
              <w:rPr>
                <w:b/>
                <w:sz w:val="24"/>
                <w:szCs w:val="24"/>
              </w:rPr>
              <w:t>Văn bản thuộc nội dung của đề mục</w:t>
            </w:r>
          </w:p>
        </w:tc>
        <w:tc>
          <w:tcPr>
            <w:tcW w:w="4155" w:type="dxa"/>
            <w:vAlign w:val="center"/>
          </w:tcPr>
          <w:p w:rsidR="0047680E" w:rsidRDefault="00CE1335" w:rsidP="00CE1335">
            <w:pPr>
              <w:spacing w:line="276" w:lineRule="auto"/>
              <w:jc w:val="center"/>
              <w:rPr>
                <w:b/>
                <w:sz w:val="24"/>
                <w:szCs w:val="24"/>
              </w:rPr>
            </w:pPr>
            <w:r w:rsidRPr="00552CD5">
              <w:rPr>
                <w:b/>
                <w:sz w:val="24"/>
                <w:szCs w:val="24"/>
              </w:rPr>
              <w:t>Cơ quan thực hiện pháp điển</w:t>
            </w:r>
            <w:r w:rsidR="0047680E">
              <w:rPr>
                <w:b/>
                <w:sz w:val="24"/>
                <w:szCs w:val="24"/>
              </w:rPr>
              <w:t xml:space="preserve"> </w:t>
            </w:r>
          </w:p>
          <w:p w:rsidR="00CE1335" w:rsidRPr="00552CD5" w:rsidRDefault="00CE1335" w:rsidP="00CE1335">
            <w:pPr>
              <w:spacing w:line="276" w:lineRule="auto"/>
              <w:jc w:val="center"/>
              <w:rPr>
                <w:b/>
                <w:sz w:val="24"/>
                <w:szCs w:val="24"/>
              </w:rPr>
            </w:pPr>
            <w:r w:rsidRPr="00552CD5">
              <w:rPr>
                <w:b/>
                <w:sz w:val="24"/>
                <w:szCs w:val="24"/>
              </w:rPr>
              <w:t>văn bản</w:t>
            </w:r>
          </w:p>
        </w:tc>
        <w:tc>
          <w:tcPr>
            <w:tcW w:w="2058" w:type="dxa"/>
            <w:vAlign w:val="center"/>
          </w:tcPr>
          <w:p w:rsidR="00CE1335" w:rsidRPr="00552CD5" w:rsidRDefault="00CE1335" w:rsidP="00CE1335">
            <w:pPr>
              <w:spacing w:line="276" w:lineRule="auto"/>
              <w:jc w:val="center"/>
              <w:rPr>
                <w:b/>
                <w:sz w:val="24"/>
                <w:szCs w:val="24"/>
              </w:rPr>
            </w:pPr>
            <w:r w:rsidRPr="00552CD5">
              <w:rPr>
                <w:b/>
                <w:sz w:val="24"/>
                <w:szCs w:val="24"/>
              </w:rPr>
              <w:t>Ký hiệu văn bản trong đề mục</w:t>
            </w:r>
          </w:p>
        </w:tc>
      </w:tr>
      <w:tr w:rsidR="007279F9" w:rsidRPr="00193813">
        <w:trPr>
          <w:trHeight w:val="588"/>
        </w:trPr>
        <w:tc>
          <w:tcPr>
            <w:tcW w:w="938" w:type="dxa"/>
            <w:vMerge w:val="restart"/>
            <w:shd w:val="clear" w:color="auto" w:fill="auto"/>
            <w:vAlign w:val="center"/>
          </w:tcPr>
          <w:p w:rsidR="007279F9" w:rsidRPr="00193813" w:rsidRDefault="00AE5E92" w:rsidP="00DE41D0">
            <w:pPr>
              <w:numPr>
                <w:ilvl w:val="0"/>
                <w:numId w:val="1"/>
              </w:numPr>
              <w:jc w:val="center"/>
              <w:rPr>
                <w:sz w:val="24"/>
                <w:szCs w:val="24"/>
              </w:rPr>
            </w:pPr>
          </w:p>
        </w:tc>
        <w:tc>
          <w:tcPr>
            <w:tcW w:w="4930" w:type="dxa"/>
            <w:vAlign w:val="center"/>
          </w:tcPr>
          <w:p w:rsidR="007279F9" w:rsidRPr="00B04D3E" w:rsidRDefault="00C079AD" w:rsidP="001F7E30">
            <w:pPr>
              <w:jc w:val="both"/>
              <w:rPr>
                <w:sz w:val="24"/>
                <w:szCs w:val="24"/>
              </w:rPr>
            </w:pPr>
            <w:r>
              <w:rPr>
                <w:color w:val="000000"/>
                <w:sz w:val="24"/>
                <w:szCs w:val="24"/>
              </w:rPr>
              <w:t>Luật 18/2008/QH12 Năng lượng nguyên tử</w:t>
            </w:r>
          </w:p>
        </w:tc>
        <w:tc>
          <w:tcPr>
            <w:tcW w:w="2700" w:type="dxa"/>
            <w:vMerge w:val="restart"/>
            <w:shd w:val="clear" w:color="auto" w:fill="auto"/>
            <w:vAlign w:val="center"/>
          </w:tcPr>
          <w:p w:rsidR="007279F9" w:rsidRPr="00193813" w:rsidRDefault="00C079AD" w:rsidP="00DE41D0">
            <w:pPr>
              <w:jc w:val="center"/>
              <w:rPr>
                <w:sz w:val="24"/>
                <w:szCs w:val="24"/>
              </w:rPr>
            </w:pPr>
            <w:r>
              <w:rPr>
                <w:sz w:val="24"/>
                <w:szCs w:val="24"/>
              </w:rPr>
              <w:t>Bộ Khoa học và Công nghệ</w:t>
            </w:r>
          </w:p>
        </w:tc>
        <w:tc>
          <w:tcPr>
            <w:tcW w:w="2160" w:type="dxa"/>
            <w:vMerge w:val="restart"/>
            <w:vAlign w:val="center"/>
          </w:tcPr>
          <w:p w:rsidR="007279F9" w:rsidRPr="00193813" w:rsidRDefault="00C079AD" w:rsidP="00DE41D0">
            <w:pPr>
              <w:jc w:val="center"/>
              <w:rPr>
                <w:sz w:val="24"/>
                <w:szCs w:val="24"/>
              </w:rPr>
            </w:pPr>
            <w:r>
              <w:rPr>
                <w:sz w:val="24"/>
                <w:szCs w:val="24"/>
              </w:rPr>
              <w:t>LQ</w:t>
            </w:r>
          </w:p>
        </w:tc>
      </w:tr>
      <w:tr w:rsidR="007279F9" w:rsidRPr="00193813">
        <w:trPr>
          <w:trHeight w:val="588"/>
        </w:trPr>
        <w:tc>
          <w:tcPr>
            <w:tcW w:w="938" w:type="dxa"/>
            <w:vMerge/>
            <w:vAlign w:val="center"/>
          </w:tcPr>
          <w:p w:rsidR="007279F9" w:rsidRPr="00193813" w:rsidRDefault="00AE5E92" w:rsidP="00DE41D0">
            <w:pPr>
              <w:numPr>
                <w:ilvl w:val="0"/>
                <w:numId w:val="1"/>
              </w:numPr>
              <w:jc w:val="center"/>
              <w:rPr>
                <w:sz w:val="24"/>
                <w:szCs w:val="24"/>
              </w:rPr>
            </w:pPr>
          </w:p>
        </w:tc>
        <w:tc>
          <w:tcPr>
            <w:tcW w:w="4930" w:type="dxa"/>
            <w:vAlign w:val="center"/>
          </w:tcPr>
          <w:p w:rsidR="007279F9" w:rsidRPr="00B04D3E" w:rsidRDefault="00C079AD" w:rsidP="001F7E30">
            <w:pPr>
              <w:jc w:val="both"/>
              <w:rPr>
                <w:color w:val="000000"/>
                <w:sz w:val="24"/>
                <w:szCs w:val="24"/>
              </w:rPr>
            </w:pPr>
            <w:r>
              <w:rPr>
                <w:color w:val="000000"/>
                <w:sz w:val="24"/>
                <w:szCs w:val="24"/>
              </w:rPr>
              <w:t>Luật 35/2018/QH14. sửa đổi, bổ sung một số điều của 37 Luật có liên quan đến quy hoạch</w:t>
            </w:r>
          </w:p>
        </w:tc>
        <w:tc>
          <w:tcPr>
            <w:tcW w:w="2700" w:type="dxa"/>
            <w:shd w:val="clear" w:color="auto" w:fill="auto"/>
            <w:vAlign w:val="center"/>
          </w:tcPr>
          <w:p w:rsidR="007279F9" w:rsidRDefault="00AE5E92" w:rsidP="00DE41D0">
            <w:pPr>
              <w:jc w:val="center"/>
              <w:rPr>
                <w:sz w:val="24"/>
                <w:szCs w:val="24"/>
              </w:rPr>
            </w:pPr>
          </w:p>
        </w:tc>
        <w:tc>
          <w:tcPr>
            <w:tcW w:w="0" w:type="auto"/>
            <w:vMerge/>
            <w:shd w:val="clear" w:color="auto" w:fill="auto"/>
            <w:vAlign w:val="center"/>
          </w:tcPr>
          <w:p w:rsidR="007279F9" w:rsidRDefault="00AE5E92" w:rsidP="00DE41D0">
            <w:pPr>
              <w:jc w:val="center"/>
              <w:rPr>
                <w:sz w:val="24"/>
                <w:szCs w:val="24"/>
              </w:rPr>
            </w:pP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quyết 31/2016/QH14 Dừng thực hiện chủ trương đầu tư Dự án điện hạt nhân Ninh Thuận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NQ.1</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07/2010/NĐ-CP Quy định chi tiết và hướng dẫn thi hành một số điều của Luật Năng lượng nguyên tử</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NĐ.1</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70/2010/NĐ-CP Quy định chi tiết và hướng dẫn thi hành một số điều của Luật Năng lượng nguyên tử về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NĐ.2</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124/2013/NĐ-CP Quy định chính sách ưu đãi, hỗ trợ người đi đào tạo trong lĩnh vực năng lượng nguyên tử</w:t>
            </w:r>
          </w:p>
        </w:tc>
        <w:tc>
          <w:tcPr>
            <w:tcW w:w="4155" w:type="dxa"/>
            <w:vAlign w:val="center"/>
          </w:tcPr>
          <w:p w:rsidR="00CE1335" w:rsidRPr="00552CD5" w:rsidRDefault="00B8323F" w:rsidP="00CE1335">
            <w:pPr>
              <w:spacing w:line="276" w:lineRule="auto"/>
              <w:jc w:val="center"/>
              <w:rPr>
                <w:sz w:val="24"/>
                <w:szCs w:val="24"/>
              </w:rPr>
            </w:pPr>
            <w:r>
              <w:rPr>
                <w:sz w:val="24"/>
                <w:szCs w:val="24"/>
              </w:rPr>
              <w:t>Bộ Giáo dục và Đào tạo</w:t>
            </w:r>
          </w:p>
        </w:tc>
        <w:tc>
          <w:tcPr>
            <w:tcW w:w="2058" w:type="dxa"/>
            <w:vAlign w:val="center"/>
          </w:tcPr>
          <w:p w:rsidR="00CE1335" w:rsidRPr="00552CD5" w:rsidRDefault="00B8323F" w:rsidP="00CE1335">
            <w:pPr>
              <w:spacing w:line="276" w:lineRule="auto"/>
              <w:jc w:val="center"/>
              <w:rPr>
                <w:sz w:val="24"/>
                <w:szCs w:val="24"/>
              </w:rPr>
            </w:pPr>
            <w:r>
              <w:rPr>
                <w:sz w:val="24"/>
                <w:szCs w:val="24"/>
              </w:rPr>
              <w:t>NĐ.3</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Nghị định 41/2019/NĐ-CP Quy định chi tiết việc lập, thẩm định, phê duyệt, công bố, thực hiện, đánh giá và điều chỉnh quy hoạch phát triển, ứng dụng năng lượng nguyên tử</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NĐ.4</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115/2007/QĐ-TTg Ban hành Quy chế bảo đảm an ninh nguồn phóng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QĐ.1</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146/2007/QĐ-TTg Ban hành Quy chế phát hiện, xử lý nguồn phóng xạ nằm ngoài sự kiểm soát</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QĐ.2</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45/2010/QĐ-TTg Ban hành Quy chế Hoạt động kiểm soát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QĐ.3</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09/2014/QĐ-TTg Nghĩa vụ tài chính của Tổ chức có nhà máy điện hạt nhân, phương thức quản lý nguồn tài chính đảm bảo chấm dứt hoạt động và tháo dỡ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 xml:space="preserve">Bộ </w:t>
            </w:r>
            <w:r w:rsidR="009A10E3" w:rsidRPr="009A10E3">
              <w:rPr>
                <w:sz w:val="24"/>
                <w:szCs w:val="24"/>
              </w:rPr>
              <w:t>Công Thương</w:t>
            </w:r>
          </w:p>
        </w:tc>
        <w:tc>
          <w:tcPr>
            <w:tcW w:w="2058" w:type="dxa"/>
            <w:vAlign w:val="center"/>
          </w:tcPr>
          <w:p w:rsidR="00CE1335" w:rsidRPr="00552CD5" w:rsidRDefault="00B8323F" w:rsidP="00CE1335">
            <w:pPr>
              <w:spacing w:line="276" w:lineRule="auto"/>
              <w:jc w:val="center"/>
              <w:rPr>
                <w:sz w:val="24"/>
                <w:szCs w:val="24"/>
              </w:rPr>
            </w:pPr>
            <w:r>
              <w:rPr>
                <w:sz w:val="24"/>
                <w:szCs w:val="24"/>
              </w:rPr>
              <w:t>QĐ.4</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Quyết định 45/2014/QĐ-TTg Về chế độ phụ cấp ưu đãi nghề nghiệp đối với người làm việc trong các đơn vị thuộc lĩnh vực năng lượng nguyên tử của Bộ Khoa học và Công nghệ</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QĐ.5</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13/2009/TT-BKHCN Hướng dẫn đánh giá sơ bộ về an toàn hạt nhân đối với địa điểm nhà máy điện hạt nhân trong giai đoạn quyết định chủ trương đầu tư</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08/2010/TT-BKHCN Hướng dẫn về việc khai báo, cấp giấy phép tiến hành công việc bức xạ và cấp chứng chỉ nhân viên bức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15/2010/TT-BKHCN Ban hành “Quy chuẩn kỹ thuật quốc gia về an toàn bức xạ - Miễn trừ khai báo, cấp giấy phép”</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TT.3</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 xml:space="preserve">Thông tư 24/2010/TT-BKHCN Ban hành và thực hiện "Quy chuẩn kỹ thuật quốc gia về </w:t>
            </w:r>
            <w:proofErr w:type="gramStart"/>
            <w:r>
              <w:rPr>
                <w:sz w:val="24"/>
                <w:szCs w:val="24"/>
              </w:rPr>
              <w:t>An</w:t>
            </w:r>
            <w:proofErr w:type="gramEnd"/>
            <w:r>
              <w:rPr>
                <w:sz w:val="24"/>
                <w:szCs w:val="24"/>
              </w:rPr>
              <w:t xml:space="preserve"> toàn bức xạ - Phân nhóm và phân loại nguồn phóng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TT.4</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27/2010/TT-BKHCN Hướng dẫn về đo lường bức xạ, hạt nhân và xây dựng, quản lý mạng lưới quan trắc và cảnh báo phóng xạ môi trường</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TT.5</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02/2011/TT-BKHCN Hướng dẫn thực hiện kiểm soát vật liệu hạt nhân, vật liệu hạt nhân nguồn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TT.6</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28/2011/TT-BKHCN Quy định về yêu cầu an toàn hạt nhân đối với địa điểm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TT.7</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38/2011/TT-BKHCN Quy định các yêu cầu về bảo đảm an ninh vật liệu hạt nhân và cơ sở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TT.8</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19/2012/TT-BKHCN Quy định về kiểm soát và bảo đảm an toàn bức xạ trong chiếu xạ nghề nghiệp và chiếu xạ công chúng</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TT.9</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23/2012/TT-BKHCN Hướng dẫn vận chuyển an toàn vật liệu phóng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TT.10</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25/2012/TT-BKHCN Quy định danh mục và yêu cầu kiểm soát vật liệu và thiết bị trong chu trình nhiên liệu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TT.11</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29/2012/TT-BKHCN Quy định nội dung báo cáo phân tích an toàn sơ bộ trong hồ sơ đề nghị phê duyệt địa diểm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TT.12</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30/2012/TT-BKHCN Quy định yêu cầu về an toàn hạt nhân đối với thiết kế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TT.13</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16/2013/TT-BKHCN Ban hành “Quy chuẩn kỹ thuật quốc gia về mạng lưới quan trắc và cảnh báo phóng xạ môi trường quốc gia”</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TT.14</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17/2013/TT-BKHCN Hướng dẫn thực hiện quy định về khai báo của Nghị định thư bổ sung của Hiệp định giữa nước Cộng hòa Xã hội chủ nghĩa Việt Nam và Cơ quan Năng lượng Nguyên tử Quốc tế về việc áp dụng thanh sát theo Hiệp ước Không phổ biến vũ khí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TT.15</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 xml:space="preserve">Thông tư 21/2013/TT-BKHCN Quy định việc áp dụng tiêu chuẩn và quy chuẩn kỹ thuật về an </w:t>
            </w:r>
            <w:proofErr w:type="gramStart"/>
            <w:r>
              <w:rPr>
                <w:sz w:val="24"/>
                <w:szCs w:val="24"/>
              </w:rPr>
              <w:t>toàn  hạt</w:t>
            </w:r>
            <w:proofErr w:type="gramEnd"/>
            <w:r>
              <w:rPr>
                <w:sz w:val="24"/>
                <w:szCs w:val="24"/>
              </w:rPr>
              <w:t xml:space="preserve"> nhân trong lựa chọn địa điểm, thiết kế, xây dựng, vận hành  và tháo dỡ tổ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TT.16</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23/2013/TT-BCT Quy định nội dung, trình tự lập, thẩm định và phê duyệt thiết kế xây dựng công trình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Công Thương</w:t>
            </w:r>
          </w:p>
        </w:tc>
        <w:tc>
          <w:tcPr>
            <w:tcW w:w="2058" w:type="dxa"/>
            <w:vAlign w:val="center"/>
          </w:tcPr>
          <w:p w:rsidR="00CE1335" w:rsidRPr="00552CD5" w:rsidRDefault="00B8323F" w:rsidP="00CE1335">
            <w:pPr>
              <w:spacing w:line="276" w:lineRule="auto"/>
              <w:jc w:val="center"/>
              <w:rPr>
                <w:sz w:val="24"/>
                <w:szCs w:val="24"/>
              </w:rPr>
            </w:pPr>
            <w:r>
              <w:rPr>
                <w:sz w:val="24"/>
                <w:szCs w:val="24"/>
              </w:rPr>
              <w:t>TT.17</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24/2013/TT-BCT Quy định về danh mục, quản lý, sử dụng hồ sơ, tài liệu liên quan đến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Công Thương</w:t>
            </w:r>
          </w:p>
        </w:tc>
        <w:tc>
          <w:tcPr>
            <w:tcW w:w="2058" w:type="dxa"/>
            <w:vAlign w:val="center"/>
          </w:tcPr>
          <w:p w:rsidR="00CE1335" w:rsidRPr="00552CD5" w:rsidRDefault="00B8323F" w:rsidP="00CE1335">
            <w:pPr>
              <w:spacing w:line="276" w:lineRule="auto"/>
              <w:jc w:val="center"/>
              <w:rPr>
                <w:sz w:val="24"/>
                <w:szCs w:val="24"/>
              </w:rPr>
            </w:pPr>
            <w:r>
              <w:rPr>
                <w:sz w:val="24"/>
                <w:szCs w:val="24"/>
              </w:rPr>
              <w:t>TT.18</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08/2014/TT-BKHCN Quy định nội dung Báo cáo phân tích an toàn trong hồ sơ phê duyệt dự án đầu tư xây dựng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TT.19</w:t>
            </w:r>
          </w:p>
        </w:tc>
      </w:tr>
      <w:tr w:rsidR="007279F9" w:rsidRPr="00193813">
        <w:trPr>
          <w:trHeight w:val="588"/>
        </w:trPr>
        <w:tc>
          <w:tcPr>
            <w:tcW w:w="938" w:type="dxa"/>
            <w:vMerge w:val="restart"/>
            <w:shd w:val="clear" w:color="auto" w:fill="auto"/>
            <w:vAlign w:val="center"/>
          </w:tcPr>
          <w:p w:rsidR="007279F9" w:rsidRPr="00193813" w:rsidRDefault="00AE5E92" w:rsidP="00DE41D0">
            <w:pPr>
              <w:numPr>
                <w:ilvl w:val="0"/>
                <w:numId w:val="1"/>
              </w:numPr>
              <w:jc w:val="center"/>
              <w:rPr>
                <w:sz w:val="24"/>
                <w:szCs w:val="24"/>
              </w:rPr>
            </w:pPr>
          </w:p>
        </w:tc>
        <w:tc>
          <w:tcPr>
            <w:tcW w:w="4930" w:type="dxa"/>
            <w:vAlign w:val="center"/>
          </w:tcPr>
          <w:p w:rsidR="007279F9" w:rsidRPr="00B04D3E" w:rsidRDefault="00C079AD" w:rsidP="001F7E30">
            <w:pPr>
              <w:jc w:val="both"/>
              <w:rPr>
                <w:sz w:val="24"/>
                <w:szCs w:val="24"/>
              </w:rPr>
            </w:pPr>
            <w:r>
              <w:rPr>
                <w:color w:val="000000"/>
                <w:sz w:val="24"/>
                <w:szCs w:val="24"/>
              </w:rPr>
              <w:t>Thông tư liên tịch 13/2014/TTLT-BKHCN-BYT Quy định về bảo đảm an toàn bức xạ trong y tế</w:t>
            </w:r>
          </w:p>
        </w:tc>
        <w:tc>
          <w:tcPr>
            <w:tcW w:w="2700" w:type="dxa"/>
            <w:vMerge w:val="restart"/>
            <w:shd w:val="clear" w:color="auto" w:fill="auto"/>
            <w:vAlign w:val="center"/>
          </w:tcPr>
          <w:p w:rsidR="007279F9" w:rsidRPr="00193813" w:rsidRDefault="00C079AD" w:rsidP="00DE41D0">
            <w:pPr>
              <w:jc w:val="center"/>
              <w:rPr>
                <w:sz w:val="24"/>
                <w:szCs w:val="24"/>
              </w:rPr>
            </w:pPr>
            <w:r>
              <w:rPr>
                <w:sz w:val="24"/>
                <w:szCs w:val="24"/>
              </w:rPr>
              <w:t>Bộ Khoa học và Công nghệ</w:t>
            </w:r>
          </w:p>
        </w:tc>
        <w:tc>
          <w:tcPr>
            <w:tcW w:w="2160" w:type="dxa"/>
            <w:vMerge w:val="restart"/>
            <w:vAlign w:val="center"/>
          </w:tcPr>
          <w:p w:rsidR="007279F9" w:rsidRPr="00193813" w:rsidRDefault="00C079AD" w:rsidP="00DE41D0">
            <w:pPr>
              <w:jc w:val="center"/>
              <w:rPr>
                <w:sz w:val="24"/>
                <w:szCs w:val="24"/>
              </w:rPr>
            </w:pPr>
            <w:r>
              <w:rPr>
                <w:sz w:val="24"/>
                <w:szCs w:val="24"/>
              </w:rPr>
              <w:t>TL.1</w:t>
            </w:r>
          </w:p>
        </w:tc>
      </w:tr>
      <w:tr w:rsidR="007279F9" w:rsidRPr="00193813">
        <w:trPr>
          <w:trHeight w:val="588"/>
        </w:trPr>
        <w:tc>
          <w:tcPr>
            <w:tcW w:w="938" w:type="dxa"/>
            <w:vMerge/>
            <w:vAlign w:val="center"/>
          </w:tcPr>
          <w:p w:rsidR="007279F9" w:rsidRPr="00193813" w:rsidRDefault="00AE5E92" w:rsidP="00DE41D0">
            <w:pPr>
              <w:numPr>
                <w:ilvl w:val="0"/>
                <w:numId w:val="1"/>
              </w:numPr>
              <w:jc w:val="center"/>
              <w:rPr>
                <w:sz w:val="24"/>
                <w:szCs w:val="24"/>
              </w:rPr>
            </w:pPr>
          </w:p>
        </w:tc>
        <w:tc>
          <w:tcPr>
            <w:tcW w:w="4930" w:type="dxa"/>
            <w:vAlign w:val="center"/>
          </w:tcPr>
          <w:p w:rsidR="007279F9" w:rsidRPr="00B04D3E" w:rsidRDefault="00C079AD" w:rsidP="001F7E30">
            <w:pPr>
              <w:jc w:val="both"/>
              <w:rPr>
                <w:color w:val="000000"/>
                <w:sz w:val="24"/>
                <w:szCs w:val="24"/>
              </w:rPr>
            </w:pPr>
            <w:r>
              <w:rPr>
                <w:color w:val="000000"/>
                <w:sz w:val="24"/>
                <w:szCs w:val="24"/>
              </w:rPr>
              <w:t>Thông tư 13/2018/TT-BKHCN Sửa đổi, bổ sung một số điều của Thông tư liên tịch số 13/2014/TTLT-BKHCN-BYT ngày 09 tháng 6 năm 2014 của Bộ trưởng Bộ Khoa học và Công nghệ và Bộ trưởng Bộ Y tế quy định về bảo đảm an toàn bức xạ trong y tế</w:t>
            </w:r>
          </w:p>
        </w:tc>
        <w:tc>
          <w:tcPr>
            <w:tcW w:w="2700" w:type="dxa"/>
            <w:shd w:val="clear" w:color="auto" w:fill="auto"/>
            <w:vAlign w:val="center"/>
          </w:tcPr>
          <w:p w:rsidR="007279F9" w:rsidRDefault="00AE5E92" w:rsidP="00DE41D0">
            <w:pPr>
              <w:jc w:val="center"/>
              <w:rPr>
                <w:sz w:val="24"/>
                <w:szCs w:val="24"/>
              </w:rPr>
            </w:pPr>
          </w:p>
        </w:tc>
        <w:tc>
          <w:tcPr>
            <w:tcW w:w="0" w:type="auto"/>
            <w:vMerge/>
            <w:shd w:val="clear" w:color="auto" w:fill="auto"/>
            <w:vAlign w:val="center"/>
          </w:tcPr>
          <w:p w:rsidR="007279F9" w:rsidRDefault="00AE5E92" w:rsidP="00DE41D0">
            <w:pPr>
              <w:jc w:val="center"/>
              <w:rPr>
                <w:sz w:val="24"/>
                <w:szCs w:val="24"/>
              </w:rPr>
            </w:pP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22/2014/TT-BKHCN Quy định về quản lý chất thải phóng xạ và nguồn phóng xạ đã qua sử dụng</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TT.20</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25/2014/TT-BKHCN Quy định việc chuẩn bị ứng phó và ứng phó sự cố bức xạ và hạt nhân, lập và phê duyệt kế hoạch ứng phó sự cố bức xạ và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TT.21</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34/2014/TT-BKHCN Quy định về đào tạo an toàn bức xạ đối với nhân viên bức xạ, người phụ trách an toàn và hoạt động dịch vụ đào tạo an toàn bức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TT.22</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liên tịch 208/2014/TTLT-BTC-BGDĐT Hướng dẫn một số điều của Nghị định số 124/2013/NĐ-CP ngày 14 tháng 10 năm 2013 của Chính phủ quy định chính sách ưu đãi, hỗ trợ người đi đào tạo trong lĩnh vực năng lượng nguyên tử</w:t>
            </w:r>
          </w:p>
        </w:tc>
        <w:tc>
          <w:tcPr>
            <w:tcW w:w="4155" w:type="dxa"/>
            <w:vAlign w:val="center"/>
          </w:tcPr>
          <w:p w:rsidR="00CE1335" w:rsidRPr="00552CD5" w:rsidRDefault="00B8323F" w:rsidP="00CE1335">
            <w:pPr>
              <w:spacing w:line="276" w:lineRule="auto"/>
              <w:jc w:val="center"/>
              <w:rPr>
                <w:sz w:val="24"/>
                <w:szCs w:val="24"/>
              </w:rPr>
            </w:pPr>
            <w:r>
              <w:rPr>
                <w:sz w:val="24"/>
                <w:szCs w:val="24"/>
              </w:rPr>
              <w:t xml:space="preserve">Bộ </w:t>
            </w:r>
            <w:r w:rsidR="00E71FEF">
              <w:rPr>
                <w:sz w:val="24"/>
                <w:szCs w:val="24"/>
              </w:rPr>
              <w:t>Tài chính</w:t>
            </w:r>
          </w:p>
        </w:tc>
        <w:tc>
          <w:tcPr>
            <w:tcW w:w="2058" w:type="dxa"/>
            <w:vAlign w:val="center"/>
          </w:tcPr>
          <w:p w:rsidR="00CE1335" w:rsidRPr="00552CD5" w:rsidRDefault="00B8323F" w:rsidP="00CE1335">
            <w:pPr>
              <w:spacing w:line="276" w:lineRule="auto"/>
              <w:jc w:val="center"/>
              <w:rPr>
                <w:sz w:val="24"/>
                <w:szCs w:val="24"/>
              </w:rPr>
            </w:pPr>
            <w:r>
              <w:rPr>
                <w:sz w:val="24"/>
                <w:szCs w:val="24"/>
              </w:rPr>
              <w:t>TL.2</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12/2015/TT-BKHCN Quy định về phân tích an toàn đối với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TT.23</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liên tịch 112/2015/TTLT-BTC-BKHCN Hướng dẫn cơ chế phối hợp và xử lý trong việc kiểm tra, phát hiện chất phóng xạ tại các cửa khẩu</w:t>
            </w:r>
          </w:p>
        </w:tc>
        <w:tc>
          <w:tcPr>
            <w:tcW w:w="4155" w:type="dxa"/>
            <w:vAlign w:val="center"/>
          </w:tcPr>
          <w:p w:rsidR="00CE1335" w:rsidRPr="00552CD5" w:rsidRDefault="00B8323F" w:rsidP="00CE1335">
            <w:pPr>
              <w:spacing w:line="276" w:lineRule="auto"/>
              <w:jc w:val="center"/>
              <w:rPr>
                <w:sz w:val="24"/>
                <w:szCs w:val="24"/>
              </w:rPr>
            </w:pPr>
            <w:r>
              <w:rPr>
                <w:sz w:val="24"/>
                <w:szCs w:val="24"/>
              </w:rPr>
              <w:t>Bộ Tài chính</w:t>
            </w:r>
          </w:p>
        </w:tc>
        <w:tc>
          <w:tcPr>
            <w:tcW w:w="2058" w:type="dxa"/>
            <w:vAlign w:val="center"/>
          </w:tcPr>
          <w:p w:rsidR="00CE1335" w:rsidRPr="00552CD5" w:rsidRDefault="00B8323F" w:rsidP="00CE1335">
            <w:pPr>
              <w:spacing w:line="276" w:lineRule="auto"/>
              <w:jc w:val="center"/>
              <w:rPr>
                <w:sz w:val="24"/>
                <w:szCs w:val="24"/>
              </w:rPr>
            </w:pPr>
            <w:r>
              <w:rPr>
                <w:sz w:val="24"/>
                <w:szCs w:val="24"/>
              </w:rPr>
              <w:t>TL.3</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04/2016/TT-BKHCN Quy định về thẩm định báo cáo đánh giá an toàn bức xạ trong hoạt động thăm dò, khai thác quặng phóng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TT.24</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06/2016/TT-BKHCN Quy định về việc cấp Giấy đăng ký và cấp Chứng chỉ hành nghề đối với một số hoạt động dịch vụ hỗ trợ ứng dụng năng lượng nguyên tử</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TT.25</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10/2016/TT-BKHCN Quy định nội dung báo cáo phân tích an toàn trong hồ sơ đề nghị cấp phép xây dựng nhà máy điện hạt nhân</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TT.26</w:t>
            </w:r>
          </w:p>
        </w:tc>
      </w:tr>
      <w:tr w:rsidR="00B8323F" w:rsidRPr="00552CD5" w:rsidTr="00B8323F">
        <w:trPr>
          <w:trHeight w:val="620"/>
        </w:trPr>
        <w:tc>
          <w:tcPr>
            <w:tcW w:w="938" w:type="dxa"/>
            <w:vAlign w:val="center"/>
          </w:tcPr>
          <w:p w:rsidR="007279F9" w:rsidRPr="00193813" w:rsidRDefault="00AE5E92" w:rsidP="00DE41D0">
            <w:pPr>
              <w:numPr>
                <w:ilvl w:val="0"/>
                <w:numId w:val="1"/>
              </w:numPr>
              <w:jc w:val="center"/>
              <w:rPr>
                <w:sz w:val="24"/>
                <w:szCs w:val="24"/>
              </w:rPr>
            </w:pPr>
          </w:p>
        </w:tc>
        <w:tc>
          <w:tcPr>
            <w:tcW w:w="6551" w:type="dxa"/>
            <w:vAlign w:val="center"/>
          </w:tcPr>
          <w:p w:rsidR="00CE1335" w:rsidRPr="00552CD5" w:rsidRDefault="00B8323F" w:rsidP="00CE1335">
            <w:pPr>
              <w:spacing w:line="276" w:lineRule="auto"/>
              <w:jc w:val="both"/>
              <w:rPr>
                <w:sz w:val="24"/>
                <w:szCs w:val="24"/>
              </w:rPr>
            </w:pPr>
            <w:r>
              <w:rPr>
                <w:sz w:val="24"/>
                <w:szCs w:val="24"/>
              </w:rPr>
              <w:t>Thông tư 01/2019/TT-BKHCN Quy định về bảo đảm an ninh nguồn phóng xạ</w:t>
            </w:r>
          </w:p>
        </w:tc>
        <w:tc>
          <w:tcPr>
            <w:tcW w:w="4155" w:type="dxa"/>
            <w:vAlign w:val="center"/>
          </w:tcPr>
          <w:p w:rsidR="00CE1335" w:rsidRPr="00552CD5" w:rsidRDefault="00B8323F" w:rsidP="00CE1335">
            <w:pPr>
              <w:spacing w:line="276" w:lineRule="auto"/>
              <w:jc w:val="center"/>
              <w:rPr>
                <w:sz w:val="24"/>
                <w:szCs w:val="24"/>
              </w:rPr>
            </w:pPr>
            <w:r>
              <w:rPr>
                <w:sz w:val="24"/>
                <w:szCs w:val="24"/>
              </w:rPr>
              <w:t>Bộ Khoa học và Công nghệ</w:t>
            </w:r>
          </w:p>
        </w:tc>
        <w:tc>
          <w:tcPr>
            <w:tcW w:w="2058" w:type="dxa"/>
            <w:vAlign w:val="center"/>
          </w:tcPr>
          <w:p w:rsidR="00CE1335" w:rsidRPr="00552CD5" w:rsidRDefault="00B8323F" w:rsidP="00CE1335">
            <w:pPr>
              <w:spacing w:line="276" w:lineRule="auto"/>
              <w:jc w:val="center"/>
              <w:rPr>
                <w:sz w:val="24"/>
                <w:szCs w:val="24"/>
              </w:rPr>
            </w:pPr>
            <w:r>
              <w:rPr>
                <w:sz w:val="24"/>
                <w:szCs w:val="24"/>
              </w:rPr>
              <w:t>TT.27</w:t>
            </w:r>
          </w:p>
        </w:tc>
      </w:tr>
    </w:tbl>
    <w:p w:rsidR="00CE1335" w:rsidRDefault="00CE1335" w:rsidP="00CE1335">
      <w:pPr>
        <w:spacing w:line="276" w:lineRule="auto"/>
      </w:pPr>
    </w:p>
    <w:p w:rsidR="00CE1335" w:rsidRPr="00361AB1" w:rsidRDefault="00CE1335" w:rsidP="00B31F7F">
      <w:pPr>
        <w:spacing w:before="120" w:line="276" w:lineRule="auto"/>
        <w:rPr>
          <w:b/>
        </w:rPr>
      </w:pPr>
      <w:r w:rsidRPr="00361AB1">
        <w:rPr>
          <w:b/>
        </w:rPr>
        <w:t>II. VĂN BẢN CÓ NỘI DUNG LIÊN QUAN</w:t>
      </w:r>
    </w:p>
    <w:p w:rsidR="00CE1335" w:rsidRPr="00552CD5" w:rsidRDefault="00CE1335" w:rsidP="00CE1335">
      <w:pPr>
        <w:spacing w:line="276" w:lineRule="auto"/>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009"/>
      </w:tblGrid>
      <w:tr w:rsidR="00BE0A1E" w:rsidRPr="00552CD5" w:rsidTr="00BE0A1E">
        <w:trPr>
          <w:trHeight w:val="1389"/>
          <w:tblHeader/>
        </w:trPr>
        <w:tc>
          <w:tcPr>
            <w:tcW w:w="959" w:type="dxa"/>
            <w:vAlign w:val="center"/>
          </w:tcPr>
          <w:p w:rsidR="00CE1335" w:rsidRPr="00552CD5" w:rsidRDefault="00CE1335" w:rsidP="00CE1335">
            <w:pPr>
              <w:spacing w:line="276" w:lineRule="auto"/>
              <w:jc w:val="center"/>
              <w:rPr>
                <w:b/>
                <w:sz w:val="24"/>
                <w:szCs w:val="24"/>
              </w:rPr>
            </w:pPr>
            <w:r w:rsidRPr="00552CD5">
              <w:rPr>
                <w:b/>
                <w:sz w:val="24"/>
                <w:szCs w:val="24"/>
              </w:rPr>
              <w:t>STT</w:t>
            </w:r>
          </w:p>
        </w:tc>
        <w:tc>
          <w:tcPr>
            <w:tcW w:w="13009" w:type="dxa"/>
            <w:vAlign w:val="center"/>
          </w:tcPr>
          <w:p w:rsidR="00CE1335" w:rsidRPr="00552CD5" w:rsidRDefault="00CE1335" w:rsidP="00CE1335">
            <w:pPr>
              <w:spacing w:line="276" w:lineRule="auto"/>
              <w:jc w:val="center"/>
              <w:rPr>
                <w:b/>
                <w:sz w:val="24"/>
                <w:szCs w:val="24"/>
              </w:rPr>
            </w:pPr>
            <w:r>
              <w:rPr>
                <w:b/>
                <w:sz w:val="24"/>
                <w:szCs w:val="24"/>
              </w:rPr>
              <w:t>Văn bản có nội dung liên quan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40/2009/QH12 Khám bệnh, chữa bệnh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60/2010/QH12 Khoáng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01/2011/QH13 Lưu trữ</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15/2012/QH13 Xử lý vi phạm hành chính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50/2014/QH13 Xây dựng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55/2014/QH13 Bảo vệ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105/2016/QH13 Dược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21/2017/QH14 quy hoạch</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29/2018/QH14 Luật Bảo vệ bí mật nhà nước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Luật 61/2020/QH14 đầu tư</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Pháp lệnh 32/2007/PL-UBTVQH11 Bảo vệ công trình quan trọng liên quan đến an ninh quốc gia</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 xml:space="preserve">Nghị định 204/2004/NĐ-CP Về chế độ tiền lương đối với cán bộ, công </w:t>
            </w:r>
            <w:proofErr w:type="gramStart"/>
            <w:r>
              <w:rPr>
                <w:color w:val="000000"/>
                <w:sz w:val="24"/>
                <w:szCs w:val="24"/>
              </w:rPr>
              <w:t>chức,viên</w:t>
            </w:r>
            <w:proofErr w:type="gramEnd"/>
            <w:r>
              <w:rPr>
                <w:color w:val="000000"/>
                <w:sz w:val="24"/>
                <w:szCs w:val="24"/>
              </w:rPr>
              <w:t xml:space="preserve"> chức và lực lượng vũ trang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107/2013/NĐ-CP Quy định về xử phạt vi phạm hành chính trong lĩnh vực năng lượng nguyên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03/2015/NĐ-CP Quy định về xác định thiệt hại đối với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18/2015/NĐ-CP Quy định về quy hoạch bảo vệ môi trường, đánh giá môi trường chiến lược, đánh giá tác động môi trường và kế hoạch bảo vệ môi trường</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65/2015/NĐ-CP Sửa đổi, bổ sung một số điều của các nghị định quy định về xử phạt vi phạm hành chính trong các lĩnh vực quản lý nhà nước liên quan đến hành vi đăng, phát, cung cấp, đưa tin, công bố thông tin sai sự thật</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36/2016/NĐ-CP Về quản lý trang thiết bị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18.</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158/2016/NĐ-CP Quy định chi tiết thi hành một số điều của Luật khoáng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19.</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54/2017/NĐ-CP Quy định chi tiết một số điều và biện pháp thi hành Luật dược</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20.</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Nghị định 36/2020/NĐ-CP Quy định về xử phạt vi phạm hành chính trong lĩnh vực tài nguyên nước và khoáng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21.</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27/2014/TT-BKHCN Quy định chi tiết một số điều của Nghị định số 107/2013/NĐ-CP ngày 20/9/2013 của Chính phủ quy định về xử phạt vi phạm hành chính trong lĩnh vực năng lượng nguyên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22.</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28/2015/TT-BKHCN Ban hành Quy chuẩn kỹ thuật quốc gia đối với thiết bị chụp X-quang tổng hợp dùng trong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23.</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02/2016/TT-BKHCN ban hành Quy chuẩn kỹ thuật quốc gia đối với thiết bị chụp cắt lớp vi tính dùng trong y tế</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24.</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287/2016/TT-BTC Quy định mức thu, chế độ thu, nộp, quản lý và sử dụng phí, lệ phí trong lĩnh vực năng lượng nguyên tử</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25.</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45/2016/TT-BTNMT Quy định về đề án thăm dò khoáng sản, đóng cửa mỏ khoáng sản và mẫu báo cáo kết quả hoạt động khoáng sản, mẫu văn bản trong hồ sơ cấp phép hoạt động khoáng sản, hồ sơ phê duyệt trữ lượng khoáng sản; trình tự, thủ tục đóng cửa mỏ khoáng sản</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26.</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15/2017/TT-BKHCN Quy chuẩn kỹ thuật quốc gia đối với máy gia tốc tuyến tính dùng trong xạ trị</w:t>
            </w:r>
          </w:p>
        </w:tc>
      </w:tr>
      <w:tr w:rsidR="00BE0A1E" w:rsidRPr="00552CD5" w:rsidTr="00BE0A1E">
        <w:trPr>
          <w:trHeight w:val="620"/>
        </w:trPr>
        <w:tc>
          <w:tcPr>
            <w:tcW w:w="959" w:type="dxa"/>
            <w:vAlign w:val="center"/>
          </w:tcPr>
          <w:p w:rsidR="00CE1335" w:rsidRPr="00365A9A" w:rsidRDefault="00BE0A1E" w:rsidP="00CE1335">
            <w:pPr>
              <w:spacing w:line="276" w:lineRule="auto"/>
              <w:jc w:val="center"/>
              <w:rPr>
                <w:sz w:val="24"/>
                <w:szCs w:val="24"/>
              </w:rPr>
            </w:pPr>
            <w:r>
              <w:rPr>
                <w:sz w:val="24"/>
                <w:szCs w:val="24"/>
              </w:rPr>
              <w:t>27.</w:t>
            </w:r>
          </w:p>
        </w:tc>
        <w:tc>
          <w:tcPr>
            <w:tcW w:w="13009" w:type="dxa"/>
            <w:vAlign w:val="center"/>
          </w:tcPr>
          <w:p w:rsidR="00CE1335" w:rsidRPr="00BE0A1E" w:rsidRDefault="00BE0A1E" w:rsidP="00CE1335">
            <w:pPr>
              <w:spacing w:line="276" w:lineRule="auto"/>
              <w:jc w:val="both"/>
              <w:rPr>
                <w:color w:val="000000"/>
                <w:sz w:val="24"/>
                <w:szCs w:val="24"/>
              </w:rPr>
            </w:pPr>
            <w:r>
              <w:rPr>
                <w:color w:val="000000"/>
                <w:sz w:val="24"/>
                <w:szCs w:val="24"/>
              </w:rPr>
              <w:t>Thông tư 14/2018/TT-BKHCN Ban hành 03 Quy chuẩn kỹ thuật quốc gia đối với thiết bị X-quang dùng trong y tế</w:t>
            </w:r>
          </w:p>
        </w:tc>
      </w:tr>
    </w:tbl>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CE1335" w:rsidRPr="00552CD5" w:rsidRDefault="00CE1335" w:rsidP="00CE1335">
      <w:pPr>
        <w:spacing w:line="276" w:lineRule="auto"/>
      </w:pPr>
    </w:p>
    <w:p w:rsidR="002C3505" w:rsidRDefault="002C3505"/>
    <w:sectPr w:rsidR="002C3505" w:rsidSect="00CE1335">
      <w:footerReference w:type="even" r:id="rId7"/>
      <w:footerReference w:type="default" r:id="rId8"/>
      <w:footnotePr>
        <w:numRestart w:val="eachPage"/>
      </w:footnotePr>
      <w:pgSz w:w="16840" w:h="11907" w:orient="landscape"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92" w:rsidRDefault="00AE5E92">
      <w:r>
        <w:separator/>
      </w:r>
    </w:p>
  </w:endnote>
  <w:endnote w:type="continuationSeparator" w:id="0">
    <w:p w:rsidR="00AE5E92" w:rsidRDefault="00AE5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35" w:rsidRDefault="00CE1335"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1335" w:rsidRDefault="00CE1335" w:rsidP="00CE13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35" w:rsidRDefault="00CE1335" w:rsidP="00CE1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7DE">
      <w:rPr>
        <w:rStyle w:val="PageNumber"/>
        <w:noProof/>
      </w:rPr>
      <w:t>1</w:t>
    </w:r>
    <w:r>
      <w:rPr>
        <w:rStyle w:val="PageNumber"/>
      </w:rPr>
      <w:fldChar w:fldCharType="end"/>
    </w:r>
  </w:p>
  <w:p w:rsidR="00CE1335" w:rsidRDefault="00CE1335" w:rsidP="00CE13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92" w:rsidRDefault="00AE5E92">
      <w:r>
        <w:separator/>
      </w:r>
    </w:p>
  </w:footnote>
  <w:footnote w:type="continuationSeparator" w:id="0">
    <w:p w:rsidR="00AE5E92" w:rsidRDefault="00AE5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775FE"/>
    <w:multiLevelType w:val="multilevel"/>
    <w:tmpl w:val="AE1E41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35"/>
    <w:rsid w:val="00005D1B"/>
    <w:rsid w:val="00021A08"/>
    <w:rsid w:val="000610A4"/>
    <w:rsid w:val="000D3D29"/>
    <w:rsid w:val="00165022"/>
    <w:rsid w:val="00190EEB"/>
    <w:rsid w:val="00202A61"/>
    <w:rsid w:val="002047F0"/>
    <w:rsid w:val="00230333"/>
    <w:rsid w:val="002850E7"/>
    <w:rsid w:val="002C3505"/>
    <w:rsid w:val="003C1CAA"/>
    <w:rsid w:val="0047680E"/>
    <w:rsid w:val="0051710C"/>
    <w:rsid w:val="005A648D"/>
    <w:rsid w:val="005C0667"/>
    <w:rsid w:val="005C3654"/>
    <w:rsid w:val="005C51B2"/>
    <w:rsid w:val="005D3F5F"/>
    <w:rsid w:val="005F7D2B"/>
    <w:rsid w:val="00622495"/>
    <w:rsid w:val="00631256"/>
    <w:rsid w:val="00651562"/>
    <w:rsid w:val="00716814"/>
    <w:rsid w:val="007647DE"/>
    <w:rsid w:val="00874BDE"/>
    <w:rsid w:val="008A25C0"/>
    <w:rsid w:val="008A3FE1"/>
    <w:rsid w:val="008B3E34"/>
    <w:rsid w:val="008C0E0C"/>
    <w:rsid w:val="008E447A"/>
    <w:rsid w:val="00916292"/>
    <w:rsid w:val="009A10E3"/>
    <w:rsid w:val="009C4C18"/>
    <w:rsid w:val="00A43673"/>
    <w:rsid w:val="00A4773B"/>
    <w:rsid w:val="00A80A4A"/>
    <w:rsid w:val="00AE5E92"/>
    <w:rsid w:val="00B31F7F"/>
    <w:rsid w:val="00B8323F"/>
    <w:rsid w:val="00BC30D3"/>
    <w:rsid w:val="00BE0A1E"/>
    <w:rsid w:val="00BE3CB4"/>
    <w:rsid w:val="00C079AD"/>
    <w:rsid w:val="00C728A8"/>
    <w:rsid w:val="00CC4D9E"/>
    <w:rsid w:val="00CC76C1"/>
    <w:rsid w:val="00CE0519"/>
    <w:rsid w:val="00CE1335"/>
    <w:rsid w:val="00D35CEE"/>
    <w:rsid w:val="00E064D1"/>
    <w:rsid w:val="00E71FEF"/>
    <w:rsid w:val="00EE14EB"/>
    <w:rsid w:val="00F11843"/>
    <w:rsid w:val="00F64D6D"/>
    <w:rsid w:val="00F83AF4"/>
    <w:rsid w:val="00FB7AC7"/>
    <w:rsid w:val="00FC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100160-C7F3-401D-8862-B1E9D3EF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335"/>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E1335"/>
  </w:style>
  <w:style w:type="paragraph" w:styleId="Footer">
    <w:name w:val="footer"/>
    <w:basedOn w:val="Normal"/>
    <w:link w:val="FooterChar"/>
    <w:rsid w:val="00CE1335"/>
    <w:pPr>
      <w:tabs>
        <w:tab w:val="center" w:pos="4320"/>
        <w:tab w:val="right" w:pos="8640"/>
      </w:tabs>
    </w:pPr>
    <w:rPr>
      <w:sz w:val="24"/>
      <w:szCs w:val="24"/>
    </w:rPr>
  </w:style>
  <w:style w:type="character" w:customStyle="1" w:styleId="FooterChar">
    <w:name w:val="Footer Char"/>
    <w:link w:val="Footer"/>
    <w:rsid w:val="00CE1335"/>
    <w:rPr>
      <w:sz w:val="24"/>
      <w:szCs w:val="24"/>
      <w:lang w:val="en-US" w:eastAsia="en-US" w:bidi="ar-SA"/>
    </w:rPr>
  </w:style>
  <w:style w:type="paragraph" w:customStyle="1" w:styleId="1CharCharCharChar">
    <w:name w:val="1 Char Char Char Char"/>
    <w:basedOn w:val="DocumentMap"/>
    <w:autoRedefine/>
    <w:rsid w:val="00CE1335"/>
    <w:pPr>
      <w:widowControl w:val="0"/>
      <w:jc w:val="both"/>
    </w:pPr>
    <w:rPr>
      <w:rFonts w:eastAsia="SimSun" w:cs="Times New Roman"/>
      <w:kern w:val="2"/>
      <w:sz w:val="24"/>
      <w:szCs w:val="24"/>
      <w:lang w:eastAsia="zh-CN"/>
    </w:rPr>
  </w:style>
  <w:style w:type="paragraph" w:styleId="DocumentMap">
    <w:name w:val="Document Map"/>
    <w:basedOn w:val="Normal"/>
    <w:semiHidden/>
    <w:rsid w:val="00CE1335"/>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Mẫu số: 02</vt:lpstr>
    </vt:vector>
  </TitlesOfParts>
  <Company>HOME</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02</dc:title>
  <dc:creator>User</dc:creator>
  <cp:lastModifiedBy>khanh han</cp:lastModifiedBy>
  <cp:revision>2</cp:revision>
  <dcterms:created xsi:type="dcterms:W3CDTF">2020-12-15T07:19:00Z</dcterms:created>
  <dcterms:modified xsi:type="dcterms:W3CDTF">2020-12-15T07:19:00Z</dcterms:modified>
</cp:coreProperties>
</file>