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07" w:type="dxa"/>
        <w:tblLook w:val="01E0" w:firstRow="1" w:lastRow="1" w:firstColumn="1" w:lastColumn="1" w:noHBand="0" w:noVBand="0"/>
      </w:tblPr>
      <w:tblGrid>
        <w:gridCol w:w="5698"/>
      </w:tblGrid>
      <w:tr w:rsidR="00CE1335" w:rsidRPr="00552CD5">
        <w:tc>
          <w:tcPr>
            <w:tcW w:w="5700" w:type="dxa"/>
          </w:tcPr>
          <w:p w:rsidR="00CE1335" w:rsidRPr="00552CD5" w:rsidRDefault="00CE1335" w:rsidP="00CE1335">
            <w:pPr>
              <w:spacing w:line="276" w:lineRule="auto"/>
              <w:jc w:val="center"/>
              <w:rPr>
                <w:b/>
                <w:sz w:val="24"/>
                <w:szCs w:val="24"/>
              </w:rPr>
            </w:pPr>
            <w:r w:rsidRPr="00552CD5">
              <w:rPr>
                <w:b/>
                <w:sz w:val="24"/>
                <w:szCs w:val="24"/>
                <w:lang w:val="vi-VN"/>
              </w:rPr>
              <w:t>Mẫu số</w:t>
            </w:r>
            <w:r w:rsidRPr="00552CD5">
              <w:rPr>
                <w:b/>
                <w:sz w:val="24"/>
                <w:szCs w:val="24"/>
              </w:rPr>
              <w:t>:</w:t>
            </w:r>
            <w:r w:rsidRPr="00552CD5">
              <w:rPr>
                <w:b/>
                <w:sz w:val="24"/>
                <w:szCs w:val="24"/>
                <w:lang w:val="vi-VN"/>
              </w:rPr>
              <w:t xml:space="preserve"> 0</w:t>
            </w:r>
            <w:r w:rsidRPr="00552CD5">
              <w:rPr>
                <w:b/>
                <w:sz w:val="24"/>
                <w:szCs w:val="24"/>
              </w:rPr>
              <w:t>2</w:t>
            </w:r>
          </w:p>
          <w:p w:rsidR="00CE1335" w:rsidRPr="00552CD5" w:rsidRDefault="00CE1335" w:rsidP="00CE1335">
            <w:pPr>
              <w:spacing w:line="276" w:lineRule="auto"/>
              <w:jc w:val="center"/>
              <w:rPr>
                <w:sz w:val="24"/>
                <w:szCs w:val="24"/>
              </w:rPr>
            </w:pPr>
            <w:r w:rsidRPr="00552CD5">
              <w:rPr>
                <w:sz w:val="24"/>
                <w:szCs w:val="24"/>
                <w:lang w:val="vi-VN"/>
              </w:rPr>
              <w:t>Ban hành kèm theo Thông tư số</w:t>
            </w:r>
            <w:r w:rsidRPr="00552CD5">
              <w:rPr>
                <w:sz w:val="24"/>
                <w:szCs w:val="24"/>
              </w:rPr>
              <w:t xml:space="preserve">  13/2014/TT-BTP</w:t>
            </w:r>
            <w:r w:rsidRPr="00552CD5">
              <w:rPr>
                <w:sz w:val="24"/>
                <w:szCs w:val="24"/>
                <w:lang w:val="vi-VN"/>
              </w:rPr>
              <w:t xml:space="preserve"> </w:t>
            </w:r>
          </w:p>
          <w:p w:rsidR="00CE1335" w:rsidRPr="00552CD5" w:rsidRDefault="00CE1335" w:rsidP="00CE1335">
            <w:pPr>
              <w:spacing w:line="276" w:lineRule="auto"/>
              <w:jc w:val="center"/>
              <w:rPr>
                <w:sz w:val="24"/>
                <w:szCs w:val="24"/>
              </w:rPr>
            </w:pPr>
            <w:r w:rsidRPr="00552CD5">
              <w:rPr>
                <w:sz w:val="24"/>
                <w:szCs w:val="24"/>
                <w:lang w:val="vi-VN"/>
              </w:rPr>
              <w:t>ngày</w:t>
            </w:r>
            <w:r w:rsidRPr="00552CD5">
              <w:rPr>
                <w:sz w:val="24"/>
                <w:szCs w:val="24"/>
              </w:rPr>
              <w:t xml:space="preserve">   29</w:t>
            </w:r>
            <w:r w:rsidRPr="00552CD5">
              <w:rPr>
                <w:sz w:val="24"/>
                <w:szCs w:val="24"/>
                <w:lang w:val="vi-VN"/>
              </w:rPr>
              <w:t>/</w:t>
            </w:r>
            <w:r w:rsidRPr="00552CD5">
              <w:rPr>
                <w:sz w:val="24"/>
                <w:szCs w:val="24"/>
              </w:rPr>
              <w:t>4</w:t>
            </w:r>
            <w:r w:rsidRPr="00552CD5">
              <w:rPr>
                <w:sz w:val="24"/>
                <w:szCs w:val="24"/>
                <w:lang w:val="vi-VN"/>
              </w:rPr>
              <w:t>/</w:t>
            </w:r>
            <w:r w:rsidRPr="00552CD5">
              <w:rPr>
                <w:sz w:val="24"/>
                <w:szCs w:val="24"/>
              </w:rPr>
              <w:t>2014</w:t>
            </w:r>
            <w:r w:rsidRPr="00552CD5">
              <w:rPr>
                <w:sz w:val="24"/>
                <w:szCs w:val="24"/>
                <w:lang w:val="vi-VN"/>
              </w:rPr>
              <w:t xml:space="preserve"> của Bộ trưởng Bộ Tư pháp hướng dẫn</w:t>
            </w:r>
            <w:r w:rsidRPr="00552CD5">
              <w:rPr>
                <w:sz w:val="24"/>
                <w:szCs w:val="24"/>
              </w:rPr>
              <w:t xml:space="preserve"> </w:t>
            </w:r>
            <w:r w:rsidRPr="00552CD5">
              <w:rPr>
                <w:sz w:val="24"/>
                <w:szCs w:val="24"/>
                <w:lang w:val="vi-VN"/>
              </w:rPr>
              <w:t>việc</w:t>
            </w:r>
            <w:r w:rsidRPr="00552CD5">
              <w:rPr>
                <w:sz w:val="24"/>
                <w:szCs w:val="24"/>
              </w:rPr>
              <w:t xml:space="preserve"> </w:t>
            </w:r>
            <w:r w:rsidRPr="00552CD5">
              <w:rPr>
                <w:sz w:val="24"/>
                <w:szCs w:val="24"/>
                <w:lang w:val="vi-VN"/>
              </w:rPr>
              <w:t>thực hiện pháp điển hệ thống quy phạm pháp luật.</w:t>
            </w:r>
          </w:p>
        </w:tc>
      </w:tr>
    </w:tbl>
    <w:p w:rsidR="00CE1335" w:rsidRPr="00552CD5" w:rsidRDefault="00CE1335" w:rsidP="00CE1335">
      <w:pPr>
        <w:spacing w:line="276" w:lineRule="auto"/>
        <w:ind w:right="-13"/>
        <w:jc w:val="center"/>
        <w:rPr>
          <w:b/>
          <w:lang w:val="vi-VN"/>
        </w:rPr>
      </w:pPr>
    </w:p>
    <w:p w:rsidR="00CE1335" w:rsidRPr="00552CD5" w:rsidRDefault="00CE1335" w:rsidP="00CE1335">
      <w:pPr>
        <w:spacing w:line="276" w:lineRule="auto"/>
        <w:jc w:val="center"/>
        <w:outlineLvl w:val="0"/>
        <w:rPr>
          <w:b/>
          <w:lang w:val="vi-VN"/>
        </w:rPr>
      </w:pPr>
      <w:r w:rsidRPr="00552CD5">
        <w:rPr>
          <w:b/>
          <w:lang w:val="vi-VN"/>
        </w:rPr>
        <w:t>DANH MỤC</w:t>
      </w:r>
    </w:p>
    <w:p w:rsidR="00CE1335" w:rsidRPr="00552CD5" w:rsidRDefault="00CE1335" w:rsidP="00CE1335">
      <w:pPr>
        <w:spacing w:line="276" w:lineRule="auto"/>
        <w:jc w:val="center"/>
        <w:rPr>
          <w:b/>
          <w:lang w:val="vi-VN"/>
        </w:rPr>
      </w:pPr>
      <w:r w:rsidRPr="00552CD5">
        <w:rPr>
          <w:b/>
          <w:lang w:val="vi-VN"/>
        </w:rPr>
        <w:t xml:space="preserve">CÁC VĂN BẢN ĐÃ ĐƯỢC THU THẬP ĐỂ PHÁP ĐIỂN ĐỐI VỚI </w:t>
      </w:r>
    </w:p>
    <w:p w:rsidR="00CE1335" w:rsidRPr="00BC30D3" w:rsidRDefault="00CE1335" w:rsidP="00E064D1">
      <w:pPr>
        <w:spacing w:line="276" w:lineRule="auto"/>
        <w:jc w:val="center"/>
        <w:rPr>
          <w:b/>
        </w:rPr>
      </w:pPr>
      <w:r w:rsidRPr="00552CD5">
        <w:rPr>
          <w:b/>
          <w:lang w:val="vi-VN"/>
        </w:rPr>
        <w:t xml:space="preserve">ĐỀ MỤC </w:t>
      </w:r>
      <w:r w:rsidR="00BC30D3">
        <w:rPr>
          <w:b/>
        </w:rPr>
        <w:t>TIÊU CHUẨN VÀ QUY CHUẨN KỸ THUẬT</w:t>
      </w:r>
    </w:p>
    <w:p w:rsidR="00E064D1" w:rsidRPr="00E064D1" w:rsidRDefault="00E064D1" w:rsidP="00E064D1">
      <w:pPr>
        <w:spacing w:line="276" w:lineRule="auto"/>
        <w:jc w:val="center"/>
        <w:rPr>
          <w:b/>
        </w:rPr>
      </w:pPr>
    </w:p>
    <w:p w:rsidR="00CE1335" w:rsidRPr="00076008" w:rsidRDefault="00CE1335" w:rsidP="00B31F7F">
      <w:pPr>
        <w:spacing w:before="120" w:line="276" w:lineRule="auto"/>
        <w:jc w:val="both"/>
        <w:rPr>
          <w:b/>
          <w:lang w:val="vi-VN"/>
        </w:rPr>
      </w:pPr>
      <w:r w:rsidRPr="00552CD5">
        <w:rPr>
          <w:b/>
          <w:lang w:val="vi-VN"/>
        </w:rPr>
        <w:t>I. CÁC VĂN BẢN THUỘC NỘI DUNG CỦA ĐỀ MỤC</w:t>
      </w:r>
    </w:p>
    <w:p w:rsidR="00CE1335" w:rsidRPr="00552CD5" w:rsidRDefault="00CE1335" w:rsidP="00CE1335">
      <w:pPr>
        <w:spacing w:line="276" w:lineRule="auto"/>
        <w:jc w:val="both"/>
        <w:rPr>
          <w:b/>
          <w:sz w:val="16"/>
          <w:szCs w:val="16"/>
          <w:lang w:val="vi-VN"/>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629"/>
        <w:gridCol w:w="4204"/>
        <w:gridCol w:w="2186"/>
      </w:tblGrid>
      <w:tr w:rsidR="00B8323F" w:rsidRPr="00552CD5" w:rsidTr="00B8323F">
        <w:trPr>
          <w:trHeight w:val="1389"/>
          <w:tblHeader/>
        </w:trPr>
        <w:tc>
          <w:tcPr>
            <w:tcW w:w="938" w:type="dxa"/>
            <w:vAlign w:val="center"/>
          </w:tcPr>
          <w:p w:rsidR="00DE41D0" w:rsidRPr="00A93585" w:rsidRDefault="00BE7390" w:rsidP="00DE41D0">
            <w:pPr>
              <w:jc w:val="center"/>
              <w:rPr>
                <w:b/>
                <w:sz w:val="24"/>
                <w:szCs w:val="24"/>
              </w:rPr>
            </w:pPr>
            <w:r w:rsidRPr="00A93585">
              <w:rPr>
                <w:b/>
                <w:sz w:val="24"/>
                <w:szCs w:val="24"/>
              </w:rPr>
              <w:t>STT</w:t>
            </w:r>
          </w:p>
        </w:tc>
        <w:tc>
          <w:tcPr>
            <w:tcW w:w="6511" w:type="dxa"/>
            <w:vAlign w:val="center"/>
          </w:tcPr>
          <w:p w:rsidR="00CE1335" w:rsidRPr="00552CD5" w:rsidRDefault="00CE1335" w:rsidP="00CE1335">
            <w:pPr>
              <w:spacing w:line="276" w:lineRule="auto"/>
              <w:jc w:val="center"/>
              <w:rPr>
                <w:b/>
                <w:sz w:val="24"/>
                <w:szCs w:val="24"/>
              </w:rPr>
            </w:pPr>
            <w:r w:rsidRPr="00552CD5">
              <w:rPr>
                <w:b/>
                <w:sz w:val="24"/>
                <w:szCs w:val="24"/>
              </w:rPr>
              <w:t>Văn bản thuộc nội dung của đề mục</w:t>
            </w:r>
          </w:p>
        </w:tc>
        <w:tc>
          <w:tcPr>
            <w:tcW w:w="4155" w:type="dxa"/>
            <w:vAlign w:val="center"/>
          </w:tcPr>
          <w:p w:rsidR="0047680E" w:rsidRDefault="00CE1335" w:rsidP="00CE1335">
            <w:pPr>
              <w:spacing w:line="276" w:lineRule="auto"/>
              <w:jc w:val="center"/>
              <w:rPr>
                <w:b/>
                <w:sz w:val="24"/>
                <w:szCs w:val="24"/>
              </w:rPr>
            </w:pPr>
            <w:r w:rsidRPr="00552CD5">
              <w:rPr>
                <w:b/>
                <w:sz w:val="24"/>
                <w:szCs w:val="24"/>
              </w:rPr>
              <w:t>Cơ quan thực hiện pháp điển</w:t>
            </w:r>
            <w:r w:rsidR="0047680E">
              <w:rPr>
                <w:b/>
                <w:sz w:val="24"/>
                <w:szCs w:val="24"/>
              </w:rPr>
              <w:t xml:space="preserve"> </w:t>
            </w:r>
          </w:p>
          <w:p w:rsidR="00CE1335" w:rsidRPr="00552CD5" w:rsidRDefault="00CE1335" w:rsidP="00CE1335">
            <w:pPr>
              <w:spacing w:line="276" w:lineRule="auto"/>
              <w:jc w:val="center"/>
              <w:rPr>
                <w:b/>
                <w:sz w:val="24"/>
                <w:szCs w:val="24"/>
              </w:rPr>
            </w:pPr>
            <w:r w:rsidRPr="00552CD5">
              <w:rPr>
                <w:b/>
                <w:sz w:val="24"/>
                <w:szCs w:val="24"/>
              </w:rPr>
              <w:t>văn bản</w:t>
            </w:r>
          </w:p>
        </w:tc>
        <w:tc>
          <w:tcPr>
            <w:tcW w:w="2058" w:type="dxa"/>
            <w:vAlign w:val="center"/>
          </w:tcPr>
          <w:p w:rsidR="00CE1335" w:rsidRPr="00552CD5" w:rsidRDefault="00CE1335" w:rsidP="00CE1335">
            <w:pPr>
              <w:spacing w:line="276" w:lineRule="auto"/>
              <w:jc w:val="center"/>
              <w:rPr>
                <w:b/>
                <w:sz w:val="24"/>
                <w:szCs w:val="24"/>
              </w:rPr>
            </w:pPr>
            <w:r w:rsidRPr="00552CD5">
              <w:rPr>
                <w:b/>
                <w:sz w:val="24"/>
                <w:szCs w:val="24"/>
              </w:rPr>
              <w:t>Ký hiệu văn bản trong đề mục</w:t>
            </w:r>
          </w:p>
        </w:tc>
      </w:tr>
      <w:tr w:rsidR="007279F9" w:rsidRPr="00193813">
        <w:trPr>
          <w:trHeight w:val="588"/>
        </w:trPr>
        <w:tc>
          <w:tcPr>
            <w:tcW w:w="938" w:type="dxa"/>
            <w:vMerge w:val="restart"/>
            <w:shd w:val="clear" w:color="auto" w:fill="auto"/>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sz w:val="24"/>
                <w:szCs w:val="24"/>
              </w:rPr>
            </w:pPr>
            <w:r>
              <w:rPr>
                <w:color w:val="000000"/>
                <w:sz w:val="24"/>
                <w:szCs w:val="24"/>
              </w:rPr>
              <w:t xml:space="preserve">Luật </w:t>
            </w:r>
            <w:r>
              <w:rPr>
                <w:color w:val="000000"/>
                <w:sz w:val="24"/>
                <w:szCs w:val="24"/>
              </w:rPr>
              <w:t>68/2006/QH11 Tiêu chuẩn và quy chuẩn kỹ thuật</w:t>
            </w:r>
          </w:p>
        </w:tc>
        <w:tc>
          <w:tcPr>
            <w:tcW w:w="2700" w:type="dxa"/>
            <w:vMerge w:val="restart"/>
            <w:shd w:val="clear" w:color="auto" w:fill="auto"/>
            <w:vAlign w:val="center"/>
          </w:tcPr>
          <w:p w:rsidR="007279F9" w:rsidRPr="00193813" w:rsidRDefault="00BE7390" w:rsidP="00DE41D0">
            <w:pPr>
              <w:jc w:val="center"/>
              <w:rPr>
                <w:sz w:val="24"/>
                <w:szCs w:val="24"/>
              </w:rPr>
            </w:pPr>
            <w:r>
              <w:rPr>
                <w:sz w:val="24"/>
                <w:szCs w:val="24"/>
              </w:rPr>
              <w:t>Bộ Khoa học và Công nghệ</w:t>
            </w:r>
          </w:p>
        </w:tc>
        <w:tc>
          <w:tcPr>
            <w:tcW w:w="2160" w:type="dxa"/>
            <w:vMerge w:val="restart"/>
            <w:vAlign w:val="center"/>
          </w:tcPr>
          <w:p w:rsidR="007279F9" w:rsidRPr="00193813" w:rsidRDefault="00BE7390" w:rsidP="00DE41D0">
            <w:pPr>
              <w:jc w:val="center"/>
              <w:rPr>
                <w:sz w:val="24"/>
                <w:szCs w:val="24"/>
              </w:rPr>
            </w:pPr>
            <w:r>
              <w:rPr>
                <w:sz w:val="24"/>
                <w:szCs w:val="24"/>
              </w:rPr>
              <w:t>LQ</w:t>
            </w: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Luật 35/2018/QH14 Sửa đổi, bổ sung một số điều của 37 luật có liên quan đến quy hoạch</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7279F9" w:rsidRPr="00193813">
        <w:trPr>
          <w:trHeight w:val="588"/>
        </w:trPr>
        <w:tc>
          <w:tcPr>
            <w:tcW w:w="938" w:type="dxa"/>
            <w:vMerge w:val="restart"/>
            <w:shd w:val="clear" w:color="auto" w:fill="auto"/>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sz w:val="24"/>
                <w:szCs w:val="24"/>
              </w:rPr>
            </w:pPr>
            <w:r>
              <w:rPr>
                <w:color w:val="000000"/>
                <w:sz w:val="24"/>
                <w:szCs w:val="24"/>
              </w:rPr>
              <w:t xml:space="preserve">Nghị định 127/2007/NĐ-CP Quy định chi tiết thi hành một số điều của Luật Tiêu chuẩn và </w:t>
            </w:r>
            <w:r>
              <w:rPr>
                <w:color w:val="000000"/>
                <w:sz w:val="24"/>
                <w:szCs w:val="24"/>
              </w:rPr>
              <w:t>Quy chuẩn kỹ thuật</w:t>
            </w:r>
          </w:p>
        </w:tc>
        <w:tc>
          <w:tcPr>
            <w:tcW w:w="2700" w:type="dxa"/>
            <w:vMerge w:val="restart"/>
            <w:shd w:val="clear" w:color="auto" w:fill="auto"/>
            <w:vAlign w:val="center"/>
          </w:tcPr>
          <w:p w:rsidR="007279F9" w:rsidRPr="00193813" w:rsidRDefault="00BE7390" w:rsidP="00DE41D0">
            <w:pPr>
              <w:jc w:val="center"/>
              <w:rPr>
                <w:sz w:val="24"/>
                <w:szCs w:val="24"/>
              </w:rPr>
            </w:pPr>
            <w:r>
              <w:rPr>
                <w:sz w:val="24"/>
                <w:szCs w:val="24"/>
              </w:rPr>
              <w:t>Bộ Khoa học và Công nghệ</w:t>
            </w:r>
          </w:p>
        </w:tc>
        <w:tc>
          <w:tcPr>
            <w:tcW w:w="2160" w:type="dxa"/>
            <w:vMerge w:val="restart"/>
            <w:vAlign w:val="center"/>
          </w:tcPr>
          <w:p w:rsidR="007279F9" w:rsidRPr="00193813" w:rsidRDefault="00BE7390" w:rsidP="00DE41D0">
            <w:pPr>
              <w:jc w:val="center"/>
              <w:rPr>
                <w:sz w:val="24"/>
                <w:szCs w:val="24"/>
              </w:rPr>
            </w:pPr>
            <w:r>
              <w:rPr>
                <w:sz w:val="24"/>
                <w:szCs w:val="24"/>
              </w:rPr>
              <w:t>NĐ.1</w:t>
            </w: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 xml:space="preserve">Nghị định 67/2009/NĐ-CP Sửa đổi một số điều của Nghị định số 127/2007/NĐ-CP ngày 01 tháng 8 năm 2007 của Chính phủ quy định chi tiết thi hành một số điều của Luật Tiêu chuẩn và Quy chuẩn kỹ thuật và </w:t>
            </w:r>
            <w:r>
              <w:rPr>
                <w:color w:val="000000"/>
                <w:sz w:val="24"/>
                <w:szCs w:val="24"/>
              </w:rPr>
              <w:t>Nghị định số 132/2008/NĐ-CP ngày 31 tháng 12 năm 2008 của Chính phủ quy định chi tiết thi hành một số điều của Luật Chất lượng sản phẩm, hàng hóa</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 xml:space="preserve">Nghị định 78/2018/NĐ-CP Sửa đổi, bổ sung một số đều của Nghị định số 127/2007/NĐ-CP ngày 01 tháng 8 năm </w:t>
            </w:r>
            <w:r>
              <w:rPr>
                <w:color w:val="000000"/>
                <w:sz w:val="24"/>
                <w:szCs w:val="24"/>
              </w:rPr>
              <w:t xml:space="preserve">2007 của Chính phủ quy định chi tiết thi hành một số điều Luật tiêu chuẩn và quy </w:t>
            </w:r>
            <w:r>
              <w:rPr>
                <w:color w:val="000000"/>
                <w:sz w:val="24"/>
                <w:szCs w:val="24"/>
              </w:rPr>
              <w:lastRenderedPageBreak/>
              <w:t>chuẩn kỹ thuật.</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72/2002/QĐ-TTg Về việc thống nhất dùng bộ mã các ký tự chữ Việt theo tiêu chuẩn TCVN 6909:2001 trong trao đổi thông tin điện tử giữa các tổ chức của Đảng và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QĐ.1</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19/2014/QĐ-TTg Về việc áp dụng Hệ thống quản lý chất lượng theo Tiêu chuẩn quốc gia TCVN ISO 9001:2008 vào hoạt động của các cơ quan, tổ chức thuộc hệ thống hành chính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QĐ.3</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46/2017/QĐ-TTg Ban hành Quy chế tổ chức và hoạt động của Mạng lưới các cơ quan thông báo và hỏi đáp và Ban liên ngành về hàng rào kỹ thuật trong thương mại</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QĐ.4</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08/2019/QĐ-TTg Quy định chức năng, nhiệm vụ, quyền hạn và cơ cấu tổ chức của Tổng cục Tiêu chuẩn Đo lường Chất lượng trực thuộc Bộ Khoa học và Công nghệ</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QĐ.5</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07/2002/TT-BKHCN Hướng dẫn triển khai Quyết định số 72/2002/QĐ-TTg ngày 10/6/2002 của Thủ tướng Chính phủ về việc thống nhất dùng Bộ mã các ký tự chữ Việt theo tiêu chuẩn TCVN 6909 : 2001 trong trao đổi thông tin điện tử giữa các tổ chức của Đảng và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w:t>
            </w:r>
          </w:p>
        </w:tc>
      </w:tr>
      <w:tr w:rsidR="007279F9" w:rsidRPr="00193813">
        <w:trPr>
          <w:trHeight w:val="588"/>
        </w:trPr>
        <w:tc>
          <w:tcPr>
            <w:tcW w:w="938" w:type="dxa"/>
            <w:vMerge w:val="restart"/>
            <w:shd w:val="clear" w:color="auto" w:fill="auto"/>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sz w:val="24"/>
                <w:szCs w:val="24"/>
              </w:rPr>
            </w:pPr>
            <w:r>
              <w:rPr>
                <w:color w:val="000000"/>
                <w:sz w:val="24"/>
                <w:szCs w:val="24"/>
              </w:rPr>
              <w:t xml:space="preserve">Thông tư </w:t>
            </w:r>
            <w:r>
              <w:rPr>
                <w:color w:val="000000"/>
                <w:sz w:val="24"/>
                <w:szCs w:val="24"/>
              </w:rPr>
              <w:t>21/2007/TT-BKHCN Hướng dẫn về xây dựng và áp dụng tiêu chuẩn</w:t>
            </w:r>
          </w:p>
        </w:tc>
        <w:tc>
          <w:tcPr>
            <w:tcW w:w="2700" w:type="dxa"/>
            <w:vMerge w:val="restart"/>
            <w:shd w:val="clear" w:color="auto" w:fill="auto"/>
            <w:vAlign w:val="center"/>
          </w:tcPr>
          <w:p w:rsidR="007279F9" w:rsidRPr="00193813" w:rsidRDefault="00BE7390" w:rsidP="00DE41D0">
            <w:pPr>
              <w:jc w:val="center"/>
              <w:rPr>
                <w:sz w:val="24"/>
                <w:szCs w:val="24"/>
              </w:rPr>
            </w:pPr>
            <w:r>
              <w:rPr>
                <w:sz w:val="24"/>
                <w:szCs w:val="24"/>
              </w:rPr>
              <w:t>Bộ Khoa học và Công nghệ</w:t>
            </w:r>
          </w:p>
        </w:tc>
        <w:tc>
          <w:tcPr>
            <w:tcW w:w="2160" w:type="dxa"/>
            <w:vMerge w:val="restart"/>
            <w:vAlign w:val="center"/>
          </w:tcPr>
          <w:p w:rsidR="007279F9" w:rsidRPr="00193813" w:rsidRDefault="00BE7390" w:rsidP="00DE41D0">
            <w:pPr>
              <w:jc w:val="center"/>
              <w:rPr>
                <w:sz w:val="24"/>
                <w:szCs w:val="24"/>
              </w:rPr>
            </w:pPr>
            <w:r>
              <w:rPr>
                <w:sz w:val="24"/>
                <w:szCs w:val="24"/>
              </w:rPr>
              <w:t>TT.2</w:t>
            </w: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Thông tư 29/2011/TT-BKHCN Sửa đổi, bổ sung một số điều của Thông tư số 21/2007/TT-BKHCN ngày 28/09/2007 của Bộ trưởng Bộ Khoa học và Công nghệ hướng dẫn về xây dựn</w:t>
            </w:r>
            <w:r>
              <w:rPr>
                <w:color w:val="000000"/>
                <w:sz w:val="24"/>
                <w:szCs w:val="24"/>
              </w:rPr>
              <w:t>g và áp dụng tiêu chuẩn</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27/2007/TT-BKHCN Hướng dẫn việc ký kết và thực hiện Hiệp định và Thỏa thuận thừa nhận lẫn nhau kết quả đánh giá sự phù hợp.</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TT.3</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30/2007/QĐ-BKHCN Về việc công bố phù hợp với tiêu chuẩn bắt buộc áp dụng chưa được chuyển thành quy chuẩn kỹ thuật quốc gia theo thời hạn quy định tại Nghị định số 127/2007/NĐ-CP</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QĐ.2</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03/2010/TT-BKHCN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TT.4</w:t>
            </w:r>
          </w:p>
        </w:tc>
      </w:tr>
      <w:tr w:rsidR="007279F9" w:rsidRPr="00193813">
        <w:trPr>
          <w:trHeight w:val="588"/>
        </w:trPr>
        <w:tc>
          <w:tcPr>
            <w:tcW w:w="938" w:type="dxa"/>
            <w:vMerge w:val="restart"/>
            <w:shd w:val="clear" w:color="auto" w:fill="auto"/>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sz w:val="24"/>
                <w:szCs w:val="24"/>
              </w:rPr>
            </w:pPr>
            <w:r>
              <w:rPr>
                <w:color w:val="000000"/>
                <w:sz w:val="24"/>
                <w:szCs w:val="24"/>
              </w:rPr>
              <w:t xml:space="preserve">Thông tư 28/2012/TT-BKHCN Quy định về công bố hợp chuẩn, công bố </w:t>
            </w:r>
            <w:r>
              <w:rPr>
                <w:color w:val="000000"/>
                <w:sz w:val="24"/>
                <w:szCs w:val="24"/>
              </w:rPr>
              <w:t>hợp quy và phương thức đánh giá sự phù hợp với tiêu chuẩn, quy chuẩn kỹ thuật</w:t>
            </w:r>
          </w:p>
        </w:tc>
        <w:tc>
          <w:tcPr>
            <w:tcW w:w="2700" w:type="dxa"/>
            <w:vMerge w:val="restart"/>
            <w:shd w:val="clear" w:color="auto" w:fill="auto"/>
            <w:vAlign w:val="center"/>
          </w:tcPr>
          <w:p w:rsidR="007279F9" w:rsidRPr="00193813" w:rsidRDefault="00BE7390" w:rsidP="00DE41D0">
            <w:pPr>
              <w:jc w:val="center"/>
              <w:rPr>
                <w:sz w:val="24"/>
                <w:szCs w:val="24"/>
              </w:rPr>
            </w:pPr>
            <w:r>
              <w:rPr>
                <w:sz w:val="24"/>
                <w:szCs w:val="24"/>
              </w:rPr>
              <w:t>Bộ Khoa học và Công nghệ</w:t>
            </w:r>
          </w:p>
        </w:tc>
        <w:tc>
          <w:tcPr>
            <w:tcW w:w="2160" w:type="dxa"/>
            <w:vMerge w:val="restart"/>
            <w:vAlign w:val="center"/>
          </w:tcPr>
          <w:p w:rsidR="007279F9" w:rsidRPr="00193813" w:rsidRDefault="00BE7390" w:rsidP="00DE41D0">
            <w:pPr>
              <w:jc w:val="center"/>
              <w:rPr>
                <w:sz w:val="24"/>
                <w:szCs w:val="24"/>
              </w:rPr>
            </w:pPr>
            <w:r>
              <w:rPr>
                <w:sz w:val="24"/>
                <w:szCs w:val="24"/>
              </w:rPr>
              <w:t>TT.5</w:t>
            </w: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Thông tư 02/2017/TT-BKHCN sửa đổi, bổ sung một số điều của Thông tư số 28/2012/TT-BKHCN ngày 12 tháng 12 năm 2012 của Bộ trưởng Bộ Khoa học và Côn</w:t>
            </w:r>
            <w:r>
              <w:rPr>
                <w:color w:val="000000"/>
                <w:sz w:val="24"/>
                <w:szCs w:val="24"/>
              </w:rPr>
              <w:t>g nghệ quy định về công bố hợp chuẩn, công bố hợp quy và phương thức đánh giá sự phù hợp với tiêu chuẩn, quy chuẩn kỹ thuật</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 xml:space="preserve">Thông tư 06/2020/TT-BKHCN Quy định chi tiết và biện pháp thi hành một số điều Nghị định số 132/2008/NĐ-CP ngày 31 tháng 12 </w:t>
            </w:r>
            <w:r>
              <w:rPr>
                <w:color w:val="000000"/>
                <w:sz w:val="24"/>
                <w:szCs w:val="24"/>
              </w:rPr>
              <w:t>năm 2008, Nghị định số 74/2018/NĐ-CP ngày 15 tháng 5 năm 2018, Nghị định số 154/2018/NĐ-CP ngày 09 tháng 11 năm 2018 vàNghị định số 119/2017/NĐ-CP ngày 01 tháng 11 năm 2017của Chính phủ</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7279F9" w:rsidRPr="00193813">
        <w:trPr>
          <w:trHeight w:val="588"/>
        </w:trPr>
        <w:tc>
          <w:tcPr>
            <w:tcW w:w="938" w:type="dxa"/>
            <w:vMerge w:val="restart"/>
            <w:shd w:val="clear" w:color="auto" w:fill="auto"/>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sz w:val="24"/>
                <w:szCs w:val="24"/>
              </w:rPr>
            </w:pPr>
            <w:r>
              <w:rPr>
                <w:color w:val="000000"/>
                <w:sz w:val="24"/>
                <w:szCs w:val="24"/>
              </w:rPr>
              <w:t>Thông tư 05/2013/TT-BVHTTDL Quy định hoạt động xây dựng tiêu chuẩn</w:t>
            </w:r>
            <w:r>
              <w:rPr>
                <w:color w:val="000000"/>
                <w:sz w:val="24"/>
                <w:szCs w:val="24"/>
              </w:rPr>
              <w:t xml:space="preserve"> quốc gia và quy chuẩn kỹ thuật quốc gia  của Bộ Văn hóa, Thể thao và Du lịch</w:t>
            </w:r>
          </w:p>
        </w:tc>
        <w:tc>
          <w:tcPr>
            <w:tcW w:w="2700" w:type="dxa"/>
            <w:vMerge w:val="restart"/>
            <w:shd w:val="clear" w:color="auto" w:fill="auto"/>
            <w:vAlign w:val="center"/>
          </w:tcPr>
          <w:p w:rsidR="007279F9" w:rsidRPr="00193813" w:rsidRDefault="00BE7390" w:rsidP="00DE41D0">
            <w:pPr>
              <w:jc w:val="center"/>
              <w:rPr>
                <w:sz w:val="24"/>
                <w:szCs w:val="24"/>
              </w:rPr>
            </w:pPr>
            <w:r>
              <w:rPr>
                <w:sz w:val="24"/>
                <w:szCs w:val="24"/>
              </w:rPr>
              <w:t>Bộ Văn hóa, Thể thao và Du lịch</w:t>
            </w:r>
          </w:p>
        </w:tc>
        <w:tc>
          <w:tcPr>
            <w:tcW w:w="2160" w:type="dxa"/>
            <w:vMerge w:val="restart"/>
            <w:vAlign w:val="center"/>
          </w:tcPr>
          <w:p w:rsidR="007279F9" w:rsidRPr="00193813" w:rsidRDefault="00BE7390" w:rsidP="00DE41D0">
            <w:pPr>
              <w:jc w:val="center"/>
              <w:rPr>
                <w:sz w:val="24"/>
                <w:szCs w:val="24"/>
              </w:rPr>
            </w:pPr>
            <w:r>
              <w:rPr>
                <w:sz w:val="24"/>
                <w:szCs w:val="24"/>
              </w:rPr>
              <w:t>TT.6</w:t>
            </w:r>
          </w:p>
        </w:tc>
      </w:tr>
      <w:tr w:rsidR="007279F9" w:rsidRPr="00193813">
        <w:trPr>
          <w:trHeight w:val="588"/>
        </w:trPr>
        <w:tc>
          <w:tcPr>
            <w:tcW w:w="938" w:type="dxa"/>
            <w:vMerge/>
            <w:vAlign w:val="center"/>
          </w:tcPr>
          <w:p w:rsidR="007279F9" w:rsidRPr="00193813" w:rsidRDefault="00BE7390" w:rsidP="00DE41D0">
            <w:pPr>
              <w:numPr>
                <w:ilvl w:val="0"/>
                <w:numId w:val="1"/>
              </w:numPr>
              <w:jc w:val="center"/>
              <w:rPr>
                <w:sz w:val="24"/>
                <w:szCs w:val="24"/>
              </w:rPr>
            </w:pPr>
          </w:p>
        </w:tc>
        <w:tc>
          <w:tcPr>
            <w:tcW w:w="4930" w:type="dxa"/>
            <w:vAlign w:val="center"/>
          </w:tcPr>
          <w:p w:rsidR="007279F9" w:rsidRPr="00B04D3E" w:rsidRDefault="00BE7390" w:rsidP="001F7E30">
            <w:pPr>
              <w:jc w:val="both"/>
              <w:rPr>
                <w:color w:val="000000"/>
                <w:sz w:val="24"/>
                <w:szCs w:val="24"/>
              </w:rPr>
            </w:pPr>
            <w:r>
              <w:rPr>
                <w:color w:val="000000"/>
                <w:sz w:val="24"/>
                <w:szCs w:val="24"/>
              </w:rPr>
              <w:t xml:space="preserve">Thông tư 04/2016/TT-BVHTTDL Thông tư sửa đổi, bổ sung một số điều của Thông tư số 15/2012/TT-BVHTTDL; Thông tư số </w:t>
            </w:r>
            <w:r>
              <w:rPr>
                <w:color w:val="000000"/>
                <w:sz w:val="24"/>
                <w:szCs w:val="24"/>
              </w:rPr>
              <w:t>07/2012/TT-BVHTTDL; Thông tư số 88/2008/TT-BVHTTDL và Thông tư số 05/2013/TT-BVHTTDL</w:t>
            </w:r>
          </w:p>
        </w:tc>
        <w:tc>
          <w:tcPr>
            <w:tcW w:w="2700" w:type="dxa"/>
            <w:shd w:val="clear" w:color="auto" w:fill="auto"/>
            <w:vAlign w:val="center"/>
          </w:tcPr>
          <w:p w:rsidR="007279F9" w:rsidRDefault="00BE7390" w:rsidP="00DE41D0">
            <w:pPr>
              <w:jc w:val="center"/>
              <w:rPr>
                <w:sz w:val="24"/>
                <w:szCs w:val="24"/>
              </w:rPr>
            </w:pPr>
          </w:p>
        </w:tc>
        <w:tc>
          <w:tcPr>
            <w:tcW w:w="0" w:type="auto"/>
            <w:vMerge/>
            <w:shd w:val="clear" w:color="auto" w:fill="auto"/>
            <w:vAlign w:val="center"/>
          </w:tcPr>
          <w:p w:rsidR="007279F9" w:rsidRDefault="00BE7390" w:rsidP="00DE41D0">
            <w:pPr>
              <w:jc w:val="center"/>
              <w:rPr>
                <w:sz w:val="24"/>
                <w:szCs w:val="24"/>
              </w:rPr>
            </w:pP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26/2014/TT-BKHCN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TT.7</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46/2014/TT-BCT Quy định về hoạt động xây dựng và áp dụng tiêu chuẩn quốc gia và quy chuẩn kỹ thuật quốc gia của Bộ Công thương</w:t>
            </w:r>
          </w:p>
        </w:tc>
        <w:tc>
          <w:tcPr>
            <w:tcW w:w="4155" w:type="dxa"/>
            <w:vAlign w:val="center"/>
          </w:tcPr>
          <w:p w:rsidR="00CE1335" w:rsidRPr="00552CD5" w:rsidRDefault="00B8323F" w:rsidP="00CE1335">
            <w:pPr>
              <w:spacing w:line="276" w:lineRule="auto"/>
              <w:jc w:val="center"/>
              <w:rPr>
                <w:sz w:val="24"/>
                <w:szCs w:val="24"/>
              </w:rPr>
            </w:pPr>
            <w:r>
              <w:rPr>
                <w:sz w:val="24"/>
                <w:szCs w:val="24"/>
              </w:rPr>
              <w:t>Bộ Công Thương</w:t>
            </w:r>
          </w:p>
        </w:tc>
        <w:tc>
          <w:tcPr>
            <w:tcW w:w="2058" w:type="dxa"/>
            <w:vAlign w:val="center"/>
          </w:tcPr>
          <w:p w:rsidR="00CE1335" w:rsidRPr="00552CD5" w:rsidRDefault="00B8323F" w:rsidP="00CE1335">
            <w:pPr>
              <w:spacing w:line="276" w:lineRule="auto"/>
              <w:jc w:val="center"/>
              <w:rPr>
                <w:sz w:val="24"/>
                <w:szCs w:val="24"/>
              </w:rPr>
            </w:pPr>
            <w:r>
              <w:rPr>
                <w:sz w:val="24"/>
                <w:szCs w:val="24"/>
              </w:rPr>
              <w:t>TT.8</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116/2015/TT-BTC Quy định công tác quản lý tài chính đối với việc tư vấn, xây dựng, áp dụng, duy trì và cải tiến Hệ thống quản lý chất Iượng theo Tiêu chuấn quốc gia TCVN ISO 9001:2008 vào hoạt động của các cơ quan, tổ chức thuộc hệ thống hành chính nhà nưóc</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chính</w:t>
            </w:r>
          </w:p>
        </w:tc>
        <w:tc>
          <w:tcPr>
            <w:tcW w:w="2058" w:type="dxa"/>
            <w:vAlign w:val="center"/>
          </w:tcPr>
          <w:p w:rsidR="00CE1335" w:rsidRPr="00552CD5" w:rsidRDefault="00B8323F" w:rsidP="00CE1335">
            <w:pPr>
              <w:spacing w:line="276" w:lineRule="auto"/>
              <w:jc w:val="center"/>
              <w:rPr>
                <w:sz w:val="24"/>
                <w:szCs w:val="24"/>
              </w:rPr>
            </w:pPr>
            <w:r>
              <w:rPr>
                <w:sz w:val="24"/>
                <w:szCs w:val="24"/>
              </w:rPr>
              <w:t>TT.9</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16/2018/TT-BKHCN Quy định hoạt động, phối hợp trong Mạng lưới các cơ quan thông báo và hỏi đáp và Ban liên ngành về hàng rào kỹ thuật trong thương mại</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TT.10</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13/2019/TT-BTTTT Quy định hoạt động xây dựng quy chuẩn kỹ thuật quốc gia, tiêu chuẩn quốc gia, tiêu chuẩn cơ sở thuộc lĩnh vực quản lý của Bộ Thông tin và Truyền thông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TT.11</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26/2019/TT-BKHCN Quy định chi tiết xây dựng, thẩm định và ban hành quy chuẩn kỹ thuật</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TT.12</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27/2020/TT-BTC Hướng dẫn quản lý và sử dụng kinh phí xây dựng tiêu chuẩn quốc gia và quy chuẩn kỹ thuật</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chính</w:t>
            </w:r>
          </w:p>
        </w:tc>
        <w:tc>
          <w:tcPr>
            <w:tcW w:w="2058" w:type="dxa"/>
            <w:vAlign w:val="center"/>
          </w:tcPr>
          <w:p w:rsidR="00CE1335" w:rsidRPr="00552CD5" w:rsidRDefault="00B8323F" w:rsidP="00CE1335">
            <w:pPr>
              <w:spacing w:line="276" w:lineRule="auto"/>
              <w:jc w:val="center"/>
              <w:rPr>
                <w:sz w:val="24"/>
                <w:szCs w:val="24"/>
              </w:rPr>
            </w:pPr>
            <w:r>
              <w:rPr>
                <w:sz w:val="24"/>
                <w:szCs w:val="24"/>
              </w:rPr>
              <w:t>TT.13</w:t>
            </w:r>
          </w:p>
        </w:tc>
      </w:tr>
      <w:tr w:rsidR="00B8323F" w:rsidRPr="00552CD5" w:rsidTr="00B8323F">
        <w:trPr>
          <w:trHeight w:val="620"/>
        </w:trPr>
        <w:tc>
          <w:tcPr>
            <w:tcW w:w="938" w:type="dxa"/>
            <w:vAlign w:val="center"/>
          </w:tcPr>
          <w:p w:rsidR="007279F9" w:rsidRPr="00193813" w:rsidRDefault="00BE7390"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01/2021/TT-BNNPTNT Quy định về xây dựng tiêu chuẩn quốc gia và xây dựng, ban hành quy chuẩn kỹ thuật quốc gia thuộc phạm vi quản lý của Bộ Nông nghiệp và Phát triển nông thôn.</w:t>
            </w:r>
          </w:p>
        </w:tc>
        <w:tc>
          <w:tcPr>
            <w:tcW w:w="4155" w:type="dxa"/>
            <w:vAlign w:val="center"/>
          </w:tcPr>
          <w:p w:rsidR="00CE1335" w:rsidRPr="00552CD5" w:rsidRDefault="00B8323F" w:rsidP="00CE1335">
            <w:pPr>
              <w:spacing w:line="276" w:lineRule="auto"/>
              <w:jc w:val="center"/>
              <w:rPr>
                <w:sz w:val="24"/>
                <w:szCs w:val="24"/>
              </w:rPr>
            </w:pPr>
            <w:r>
              <w:rPr>
                <w:sz w:val="24"/>
                <w:szCs w:val="24"/>
              </w:rPr>
              <w:t>Bộ Nông nghiệp và Phát triển nông thôn</w:t>
            </w:r>
          </w:p>
        </w:tc>
        <w:tc>
          <w:tcPr>
            <w:tcW w:w="2058" w:type="dxa"/>
            <w:vAlign w:val="center"/>
          </w:tcPr>
          <w:p w:rsidR="00CE1335" w:rsidRPr="00552CD5" w:rsidRDefault="00B8323F" w:rsidP="00CE1335">
            <w:pPr>
              <w:spacing w:line="276" w:lineRule="auto"/>
              <w:jc w:val="center"/>
              <w:rPr>
                <w:sz w:val="24"/>
                <w:szCs w:val="24"/>
              </w:rPr>
            </w:pPr>
            <w:r>
              <w:rPr>
                <w:sz w:val="24"/>
                <w:szCs w:val="24"/>
              </w:rPr>
              <w:t>TT.14</w:t>
            </w:r>
          </w:p>
        </w:tc>
      </w:tr>
    </w:tbl>
    <w:p w:rsidR="00CE1335" w:rsidRDefault="00CE1335" w:rsidP="00CE1335">
      <w:pPr>
        <w:spacing w:line="276" w:lineRule="auto"/>
      </w:pPr>
    </w:p>
    <w:p w:rsidR="00CE1335" w:rsidRPr="00361AB1" w:rsidRDefault="00CE1335" w:rsidP="00B31F7F">
      <w:pPr>
        <w:spacing w:before="120" w:line="276" w:lineRule="auto"/>
        <w:rPr>
          <w:b/>
        </w:rPr>
      </w:pPr>
      <w:r w:rsidRPr="00361AB1">
        <w:rPr>
          <w:b/>
        </w:rPr>
        <w:t>II. VĂN BẢN CÓ NỘI DUNG LIÊN QUAN</w:t>
      </w:r>
    </w:p>
    <w:p w:rsidR="00CE1335" w:rsidRPr="00552CD5" w:rsidRDefault="00CE1335" w:rsidP="00CE1335">
      <w:pPr>
        <w:spacing w:line="276"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009"/>
      </w:tblGrid>
      <w:tr w:rsidR="00BE0A1E" w:rsidRPr="00552CD5" w:rsidTr="00BE0A1E">
        <w:trPr>
          <w:trHeight w:val="1389"/>
          <w:tblHeader/>
        </w:trPr>
        <w:tc>
          <w:tcPr>
            <w:tcW w:w="959" w:type="dxa"/>
            <w:vAlign w:val="center"/>
          </w:tcPr>
          <w:p w:rsidR="00CE1335" w:rsidRPr="00552CD5" w:rsidRDefault="00CE1335" w:rsidP="00CE1335">
            <w:pPr>
              <w:spacing w:line="276" w:lineRule="auto"/>
              <w:jc w:val="center"/>
              <w:rPr>
                <w:b/>
                <w:sz w:val="24"/>
                <w:szCs w:val="24"/>
              </w:rPr>
            </w:pPr>
            <w:r w:rsidRPr="00552CD5">
              <w:rPr>
                <w:b/>
                <w:sz w:val="24"/>
                <w:szCs w:val="24"/>
              </w:rPr>
              <w:t>STT</w:t>
            </w:r>
          </w:p>
        </w:tc>
        <w:tc>
          <w:tcPr>
            <w:tcW w:w="13009" w:type="dxa"/>
            <w:vAlign w:val="center"/>
          </w:tcPr>
          <w:p w:rsidR="00CE1335" w:rsidRPr="00552CD5" w:rsidRDefault="00CE1335" w:rsidP="00CE1335">
            <w:pPr>
              <w:spacing w:line="276" w:lineRule="auto"/>
              <w:jc w:val="center"/>
              <w:rPr>
                <w:b/>
                <w:sz w:val="24"/>
                <w:szCs w:val="24"/>
              </w:rPr>
            </w:pPr>
            <w:r>
              <w:rPr>
                <w:b/>
                <w:sz w:val="24"/>
                <w:szCs w:val="24"/>
              </w:rPr>
              <w:t>Văn bản có nội dung liên quan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05/2007/QH12 Chất lượng sản phẩm, hàng hoá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29/2013/QH13 Khoa học và công nghệ</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132/2008/NĐ-CP Quy định chi tiết thi hành một số điều của Luật chất lượng sản phẩm, hàng hóa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103/2009/NĐ-CP Ban hành Quy chế hoạt động văn hóa và kinh doanh dịch vụ văn hóa công cộng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213/2013/NĐ-CP Về tổ chức và hoạt động của thanh tra ngành Khoa học và Công nghệ</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107/2016/NĐ-CP Quy định về điều kiện kinh doanh dịch vụ đánh giá sự phù hợp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119/2017/NĐ-CP Quy định về xử phạt vi phạm hành chính trong lĩnh vực tiêu chuẩn, đo lường và chất lượng sản phẩm, hàng hóa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154/2018/NĐ-CP Sửa đổi, bổ sung, bãi bỏ một số quy định về điều kiện đầu tư, kinh doanh trong lĩnh vực quản lý nhà nước của Bộ Khoa học và Công nghệ và một số quy định về kiểm tra chuyên ngành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54/2019/NĐ-CP Quy định về kinh doanh dịch vụ karaoke, dịch vụ vũ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11/2020/NĐ-CP Quy định về thủ tục hành chính thuộc lĩnh vực Kho bạc Nhà nước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30/2020/NĐ-CP Về công tác văn thư</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06/2009/TT-BTNMT Quy định về Quy chuẩn kỹ thuật quốc gia về xây dựng lưới tọa độ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20/2009/TT-BCT Quy định Quy chuẩn kỹ thuật quốc gia về an toàn trong khai thác mỏ lộ thiên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47/2009/TT-BNNPTNT Ban hành Quy chuẩn kỹ thuật quốc gia về điều kiện an toàn vệ sinh thực phẩm trong sản xuất thuỷ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55/2009/TT-BNNPTNT Quy chuẩn kỹ thuật quốc gia về Bảo vệ và Kiểm dịch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21/2009/TT-BKHCN Về việc ban hành và thực hiện “quy chuẩn kỹ thuật quốc gia về an toàn đối với thiết bị điện và điện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33/2009/TT-BXD Ban hành Quy chuẩn kỹ thuật quốc gia Phân loại, phân cấp công trình xây dựng dân dụng, công nghiệp và hạ tầng kỹ thuật đô thị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16/2009/TT-BTNMT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66/2009/TT-BNNPTNT Ban hành Quy chuẩn kỹ thuật quốc gia lĩnh vực Thú 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25/2009/TT-BTNMT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30/2009/TT-BGTVT Quy định quy chuẩn kỹ thuật quốc gia về khí thải xe mô tô, xe gắn máy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31/2009/TT-BGTVT Quy định quy chuẩn kỹ thuật quốc gia về khí thải xe ô tô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75/2009/TT-BNNPTNT Ban hành Quy chuẩn kỹ thuật quốc gia về điều kiện an toàn vệ sinh thực phẩm trong sản xuất Nông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82/2009/TT-BNNPTNT Ban hành Quy chuẩn kỹ thuật quốc gia về điều kiện an toàn vệ sinh thực phẩm trong sản xuất Thuỷ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40/2009/TT-BCT Ban hành Quy chuẩn kỹ thuật quốc gia về kỹ thuật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04/2010/TT-BNNPTNT Ban hành Quy chuẩn kỹ thuật Quốc gia về điều kiện trại chăn nuôi lợn, trại chăn nuôi gia cầm an toàn sinh học do Bộ trưởng Bộ Nông nghiệp và Phát triển nông thôn ban hành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17/2010/TT-BTC Ban hành Quy chuẩn kỹ thuật Quốc gia về Dự trữ Nhà nước đối với nhà bạt cứu sinh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18/2010/TT-BTC Ban hành Quy chuẩn kỹ thuật quốc gia về dự trữ nhà nước đối với xuồng cứu nạn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26/2010/TT-BNNPTNT Ban hành Quy chuẩn kỹ thuật Quốc gia về kiểm dịch và Bảo vệ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14/2010/TT-BYT Ban hành Quy chuẩn kỹ thuật quốc gia về các chất được sử dụng để bổ sung kẽm vào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15/2010/TT-BYT Ban hành Quy chuẩn kỹ thuật quốc gia về acid folic được sử dụng để bổ sung vào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16/2010/TT-BYT Ban hành Quy chuẩn kỹ thuật quốc gia về các chất được sử dụng để bổ sung sắt vào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17/2010/TT-BYT Ban hành Quy chuẩn kỹ thuật quốc gia về các chất được sử dụng để bổ sung calci vào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18/2010/TT-BYT Ban hành Quy chuẩn kỹ thuật quốc gia về phụ gia thực phẩm - Chất điều vị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19/2010/TT-BYT Ban hành Quy chuẩn kỹ thuật quốc gia về phụ gia thực phẩm - Chất làm 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20/2010/TT-BYT Ban hành Quy chuẩn kỹ thuật quốc gia về phụ gia thực phẩm - Chất tạo xốp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21/2010/TT-BYT Ban hành Quy chuẩn kỹ thuật quốc gia về phụ gia thực phẩm - Chất chống đông vón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22/2010/TT-BYT Ban hành Quy chuẩn kỹ thuật quốc gia về phụ gia thực phẩm - Chất giữ màu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23/2010/TT-BYT Ban hành Quy chuẩn kỹ thuật quốc gia về phụ gia thực phẩm - Chất chống oxy hóa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24/2010/TT-BYT Ban hành Quy chuẩn kỹ thuật quốc gia về phụ gia thực phẩm - Chất chống tạo bọt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25/2010/TT-BYT Ban hành Quy chuẩn kỹ thuật quốc gia về phụ gia thực phẩm - Chất ngọt tổng hợp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42.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26/2010/TT-BYT Ban hành Quy chuẩn kỹ thuật quốc gia về phụ gia thực phẩm - Chất làm rắn chắc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27/2010/TT-BYT Ban hành Quy chuẩn kỹ thuật quốc gia về phụ gia thực phẩm - Phẩm màu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28/2010/TT-BYT Ban hành Quy chuẩn kỹ thuật quốc gia về phụ gia thực phẩm - Chất điều chỉnh độ acid</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31/2010/TT-BNNPTNT Ban hành Quy chuẩn kỹ thuật quốc gia lĩnh vực Thú 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31/2010/TT-BYT Ban hành Quy chuẩn kỹ thuật quốc gia đối với các sản phẩm sữa dạng bột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32/2010/TT-BYT Ban hành Quy chuẩn kỹ thuật quốc gia đối với các sản phẩm phomat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33/2010/TT-BYT Ban hành Quy chuẩn kỹ thuật quốc gia đối với các sản phẩm chất béo từ sữa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34/2010/TT-BYT Ban hành Quy chuẩn kỹ thuật quốc gia đối với nước khoáng thiên nhiên và nước uống đóng chai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35/2010/TT-BYT Ban hành Quy chuẩn kỹ thuật quốc gia đối với các sản phẩm đồ uống không cồn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37/2010/TT-BNNPTNT Ban hành Quy chuẩn kỹ thuật quốc gia về chỉ tiêu vệ sinh an toàn thực phẩm Nông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42/2010/TT-BNNPTNT Ban hành Quy chuẩn kỹ thuật Quốc gia về công trình thuỷ lợi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07/2010/TT-BXD Ban hành Quy chuẩn kỹ thuật quốc gia An toàn cháy cho nhà và công trình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23/2010/TT-BGTVT Ban hành Quy chuẩn kỹ thuật Quốc gia “Quy phạm các hệ thống ngăn ngừa ô nhiễm biển của tàu”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55.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27/2010/TT-BGTVT Ban hành quy chuẩn kỹ thuật quốc gia về máy lái thủy lực trên phương tiện thủy - yêu cầu kỹ thuật và phương pháp thử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15/2010/TT-BKHCN Ban hành “Quy chuẩn kỹ thuật quốc gia về an toàn bức xạ - Miễn trừ khai báo, cấp giấy phép”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16/2010/TT-BKHCN Về việc sửa đổi, bổ sung Thông tư 21/2009/TT-BKHCN ban hành và thực hiện Quy chuẩn kỹ thuật quốc gia về an toàn đối với thiết bị điện và điện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33/2010/TT-BGTVT Sửa đổi, bổ sung Thông tư số 30/2009/TT-BGTVT ngày 19 tháng 11 năm 2009 của Bộ Giao thông vận tải quy định Quy chuẩn kỹ thuật quốc gia về khí thải xe mô tô, xe gắn máy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41/2010/TT-BYT Ban hành Quy chuẩn kỹ thuật quốc gia đối với các sản phẩm sữa lên men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36/2010/TT-BGTVT Về việc ban hành 04 Quy chuẩn kỹ thuật quốc gia về phụ tùng xe mô tô, xe gắn máy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71/2010/TT-BNNPTNT Ban hành Quy chuẩn kỹ thuật Quốc gia về Kiểm dịch và Bảo vệ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39/2010/TT-BTNMT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44/2010/TT-BYT Ban hành các quy chuẩn ký thuật quốc gia về phụ gia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45/2010/TT-BYT Ban hành Quy chuẩn kỹ thuật quốc gia đối với các sản phẩm đồ uống có cồn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41/2010/TT-BTNMT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24/2010/TT-BKHCN Ban hành và thực hiện "Quy chuẩn kỹ thuật quốc gia về An toàn bức xạ - Phân nhóm và phân loại nguồn phóng xạ"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67.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42/2010/TT-BTNMT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46/2010/TT-BYT Ban hành Quy chuẩn kỹ thuật quốc gia về vệ sinh phòng bệnh  truyền nhiễm trong các cơ sở giáo dục thuộc hệ thống giáo dục quốc dân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217/2010/TT-BTC Sửa đổi Quyết định số 72/2008/QĐ-BTC ngày 3/9/2008 của Bộ Tài chính về việc ban hành Quy chuẩn kỹ thuật quốc gia về dự trữ quốc gia đối với nhà bạt cứu sinh loại nhẹ (QCVN 3:2008/BTC)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39/2010/TT-BGTVT Về việc ban hành 03 quy chuẩn kỹ thuật quốc gia về phụ tùng phương tiện giao thông cơ giới đường bộ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02/2011/TT-BTC Ban hành Quy chuẩn kỹ thuật quốc gia về dự trữ nhà nước đối với kim loại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03/2011/TT-BTC Ban hành Quy chuẩn kỹ thuật quốc gia về dự trữ nhà nước đối với ô tô, xe và máy chuyên dùng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04/2011/TT-BTC Ban hành Quy chuẩn kỹ thuật quốc gia về dự trữ nhà nước đối với nhà bạt cứu sinh loại nhẹ</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01/2011/TT-BYT Ban hành các Quy chuẩn kỹ thuật quốc gia đối với phụ gia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02/2011/TT-BYT Ban hành các Quy chuẩn kỹ thuật quốc gia đối với giới hạn ô nhiễm hoá học trong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03/2011/TT-BYT Ban hành các Quy chuẩn kỹ thuật quốc gia đối với chất được sử dụng để bổ sung vi chất dinh dưỡng vào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04/2011/TT-BYT Ban hành các Quy chuẩn kỹ thuật quốc gia đối với thực phẩm bổ sung vi chất dinh dưỡng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05/2011/TT-BYT Ban hành các Quy chuẩn kỹ thuật quốc gia đối với nước đá dùng liền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79.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03/2011/TT-BCT Ban hành Quy chuẩn kỹ thuật quốc gia về an toàn trong khai thác than hầm lò</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04/2011/TT-BCT Quy định Quy chuẩn kỹ thuật quốc gia về kỹ thuật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10/2011/TT-BTTTT Ban hành quy chuẩn kỹ thuật quốc gia về viễn thông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18/2011/TT-BYT Ban hành các Quy chuẩn kỹ thuật quốc gia đối với thực phẩm bổ sung vi chất dinh dưỡng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43/2011/TT-BNNPTNT Quy chuẩn kỹ thuật quốc gia về khảo nghiệm, kiểm định giống vật nuôi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23/2011/TT-BCT Ban hành Quy chuẩn kỹ thuật quốc gia về an toàn trong nhà máy tuyển khoáng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27/2011/TT-BYT Ban hành Quy chuẩn kỹ thuật quốc gia về nhà tiêu - Điều kiện bảo đảm hợp vệ sinh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45/2011/TT-BNNPTNT Ban hành Quy chuẩn kỹ thuật Quốc gia về chất lượng giống cây trồng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48/2011/TT-BNNPTNT Ban hành Quy chuẩn kỹ thuật Quốc gia về khảo nghiệm giống cây trồng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23/2011/TT-BTNMT Quy định Quy chuẩn kỹ thuật quốc gia về chuẩn hóa địa danh phục vụ công tác thành lập bản đồ</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20/2011/TT-BLĐTBXH Ban hành “Quy chuẩn kỹ thuật quốc gia về an toàn lao động đối với máy hàn điện và công việc hàn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34/2011/TT-BYT Ban hành các Quy chuẩn kỹ thuật quốc gia về an toàn vệ sinh đối với bao bì, dụng cụ tiếp xúc trực tiếp với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61/2011/TT-BNNPTNT Ban hành Quy chuẩn kỹ thuật quốc gia lĩnh vực thức ăn chăn nuôi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92.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67/2011/TT-BNNPTNT Ban hành Quy chuẩn kỹ thuật quốc gia về khảo nghiệm giống cây trồng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71/2011/TT-BNNPTNT Ban hành Quy chuẩn kỹ thuật quốc gia lĩnh vực thú 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72/2011/TT-BNNPTNT Ban hành Quy chuẩn kỹ thuật quốc gia về khảo nghiệm, kiểm định giống vật nuôi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56/2011/TT-BGTVT Về việc ban hành 06 quy chuẩn kỹ thuật quốc gia về phương tiện cơ giới đường bộ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43/2011/TT-BTNMT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77/2011/TT-BCA Quy định quy chuẩn quốc gia về dự trữ nhà nước đối với phương tiện giao thông cơ giới đường bộ, xe máy chuyên dùng do Bộ Công an quản lý</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78/2011/TT-BCA Quy định quy chuẩn kỹ thuật quốc gia về dự trữ nhà nước đối với vũ khí, vật liệu nổ, công cụ hỗ trợ do Bộ Công an quản lý</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44/2011/TT-BTNMT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47/2011/TT-BTNMT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67/2011/TT-BGTVT Về việc ban hành 03 Quy chuẩn kỹ thuật quốc gia về phương tiện giao thông đường sắt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205/2011/TT-BTC Ban hành Quy chuẩn kỹ thuật quốc gia về dự trữ nhà nước đối với gạo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02/2012/TT-BNNPTNT Ban hành Quy chuẩn kỹ thuật quốc gia về điều kiện bảo đảm an toàn thực phẩm đối với cơ sở sản xuất nước mắm, sản phẩm thủy sản dạng mắm và thủy sản khô dùng làm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104.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02/2012/TT-BLĐTBXH Ban hành Quy chuẩn kỹ thuật quốc gia An toàn lao động trong khai thác và chế biến đá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04/2012/TT-BLĐTBXH Ban hành Quy chuẩn kỹ thuật quốc gia về Mũ An toàn công nghiệp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05/2012/TT-BYT Ban hành Quy chuẩn kỹ thuật quốc gia đối với ô nhiễm vi sinh vật trong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05/2012/TT-BLĐTBXH Ban hành Quy chuẩn kỹ thuật quốc gia về an toàn lao động đối với thiết bị nâng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11/2012/TT-BKHCN Ban hành "Quy chuẩn kỹ thuật quốc gia về tương thích điện từ đối với thiết bị điện và điện tử gia dụng và mục đích tương tự"</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07/2012/TT-BLĐTBXH Ban hành Quy chuẩn kỹ thuật quốc gia về những thiết bị bảo vệ đường hô hấp - Bộ lọc bụi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86/2012/TT-BTC Ban hành Quy chuẩn kỹ thuật quốc gia về dự trữ nhà nước đối với vật liệu nổ công nghiệp - thuốc nổ Trinitrotoluen (TNT)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87/2012/TT-BTC Ban hành Quy chuẩn kỹ thuật quốc gia về dự trữ nhà nước đối với vật liệu nổ công nghiệp - thuốc nổ pentrit (TEN)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11/2012/TT-BCT Ban hành Quy chuẩn kỹ thuật Quốc gia về thuốc nổ an toàn cho mỏ hầm lò có khí Mêtan (AH1)</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12/2012/TT-BCT Ban hành Quy chuẩn kỹ thuật quốc gia về Amôni Nitrat dùng để sản xuất thuốc nổ Anfo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13/2012/TT-BCT Ban hành Quy chuẩn kỹ thuật quốc gia về thuốc nổ Anfo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14/2012/TT-BCT Ban hành Quy chuẩn kỹ thuật quốc gia về thuốc nổ nhũ tương dùng cho mỏ hầm lò, công trình ngầm không có khí và bụi nổ</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15/2012/TT-BCT Ban hành Quy chuẩn kỹ thuật quốc gia về dây dẫn tín hiệu nổ</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16/2012/TT-BCT Ban hành Quy chuẩn kỹ thuật quốc gia về kíp nổ vi sai phi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24/2012/TT-BNNPTNT Ban hành Quy chuẩn kỹ thuật Quốc gia khảo nghiệm giống cây trồng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27/2012/TT-BNNPTNT Ban hành Quy chuẩn kỹ thuật Quốc gia công trình thuỷ lợi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29/2012/TT-BNNPTNT Ban hành Quy chuẩn kỹ thuật quốc gia chất lượng mía nguyên liệu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30/2012/TT-BNNPTNT Quy chuẩn kỹ thuật quốc gia điều kiện vệ sinh thú 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28/2012/TT-BGTVT Ban hành "Quy chuẩn kỹ thuật quốc gia về trang bị an toàn tàu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41/2012/TT-BNNPTNT Ban hành Quy chuẩn kỹ thuật quốc gia về khảo nghiệm, kiểm định giống vật nuôi và thức ăn chăn nuôi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39/2012/TT-BGTVT Hướng dẫn thực hiện quy chuẩn kỹ thuật quốc gia về kết cấu hạ tầng giao thông, công cụ hỗ trợ và chính sách ưu tiên người khuyết tật tham gia giao thông công cộng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10/2012/TT-BTNMT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25/2012/TT-BLĐTBXH Ban hành Quy chuẩn kỹ thuật quốc gia về an toàn lao động đối với bộ lọc dùng trong mặt nạ và bán mặt nạ phòng độc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13/2012/TT-BTNMT Ban hành "Quy chuẩn kỹ thuật quốc gia về giới hạn cho phép của dioxin trong một số loại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128.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121/2012/TT-BQP Ban hành QCVN 01:2012/BQP, quy chuẩn kỹ thuật quốc gia về rà phá bom mìn, vật nổ</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20/2012/TT-BYT Ban hành Quy chuẩn kỹ thuật quốc gia đối với sản phẩm dinh dưỡng  công thức cho trẻ đến 12 tháng tuổi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21/2012/TT-BYT Ban hành Quy chuẩn kỹ thuật quốc gia đối với sản phẩm dinh dưỡng  công thức với mục đích y tế đặc biệt cho trẻ đến 12 tháng tuổi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22/2012/TT-BYT Ban hành Quy chuẩn kỹ thuật quốc gia đối với sản phẩm dinh dưỡng  công thức với mục đích ăn bổ sung cho trẻ từ 6 đến 36 tháng tuổi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23/2012/TT-BYT hành Quy chuẩn kỹ thuật quốc gia đối với sản phẩm dinh dưỡng chế biến từ ngũ cốc cho trẻ từ 6 đến 36 tháng tuổi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48/2012/TT-BGTVT Quy chuẩn kỹ thuật quốc gia về Trạm dừng nghỉ đường bộ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20/2012/TT-BTTTT Ban hành Quy chuẩn kỹ thuật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49/2012/TT-BGTVT Ban hành quy chuẩn kỹ thuật quốc gia về bến xe khách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63/2012/TT-BNNPTNT Ban hành Quy chuẩn kỹ thuật quốc gia về lĩnh vực Kiểm dịch và Bảo vệ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32/2012/TT-BLĐTBXH Ban hành Quy chuẩn kỹ thuật quốc gia về an toàn lao động đối với thang cuốn và băng tải chở người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52/2012/TT-BGTVT Ban hành 03 Quy chuẩn kỹ thuật quốc gia về phụ tùng của xe mô tô, gắn máy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34/2012/TT-BLĐTBXH Ban hành Quy chuẩn kỹ thuật quốc gia về an toàn lao động đối với dụng cụ điện cầm tay truyền động bằng động cơ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140.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54/2012/TT-BGTVT Ban hành Quy chuẩn kỹ thuật quốc gia về quy phạm giám sát và kiểm tra an toàn kỹ thuật tàu thể thao, vui chơi giải trí và Quy chuẩn kỹ thuật quốc gia về quy phạm phân cấp và đóng phương tiện thủy nội địa vỏ xi măng lưới thép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55/2012/TT-BGTVT Ban hành Quy chuẩn kỹ thuật quốc gia về phân cấp và giám sát kỹ thuật giàn di động và cố định trên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12/2012/TT-BXD Ban hành Quy chuẩn kỹ thuật quốc gia nguyên tắc phân loại,  phân cấp công trình dân dụng, công nghiệp và hạ tầng kỹ thuật đô thị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23/2012/TT-BTNMT Ban hành “Quy chuẩn kỹ thuật Quốc gia về lập bản đồ địa chất khoáng sản tỷ lệ 1:50.000 phần đất liền”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24/2012/TT-BTNMT Ban hành Quy chuẩn kỹ thuật quốc gia về sử dụng mẫu chuẩn được chứng nhận trong phân tích mẫu địa chất, khoáng sản rắn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25/2012/TT-BTNMT Ban hành Quy chuẩn kỹ thuật quốc gia về quan trắc khí tượng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26/2012/TT-BTNMT Ban hành Quy chuẩn kỹ thuật quốc gia về quan trắc thủy văn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27/2012/TT-BTNMT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47/2012/TT-BCT Ban hành Quy chuẩn kỹ thuật quốc gia về trang thiết bị, phụ trợ sử dụng trong tồn trữ và phân phối xăng sinh học (xăng E5, E10) tại cửa hàng xăng dầu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49/2012/TT-BCT Ban hành Quy chuẩn kỹ thuật quốc gia về an toàn trạm cấp khí dầu mỏ hóa lỏng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50/2012/TT-BCT Ban hành Quy chuẩn kỹ thuật quốc gia về mức rủi ro chấp nhận được trong đánh giá định lượng rủi ro cho các hoạt động dầu khí, xăng dầu, hóa chất và nhiệt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03/2013/TT-BTTTT Quy định áp dụng tiêu chuẩn, quy chuẩn kỹ thuật đối với trung tâm dữ liệu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152.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07/2013/TT-BNNPTNT Ban hành Quy chuẩn kỹ thuật quốc gia về rau, quả, chè búp tươi đủ điều kiện bảo đảm an toàn thực phẩm trong quá trình sản xuất, sơ chế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12/2013/TT-BNNPTNT Ban hành Quy chuẩn kỹ thuật Quốc gia về Kho chứa thóc và Cơ sở xay, xát thóc gạo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06/2013/TT-BGTVT Ban hành các Quy chuẩn kỹ thuật quốc gia về các quy phạm  liên quan tàu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09/2013/TT-BGTVT Ban hành Quy chuẩn kỹ thuật quốc gia về trạm kiểm tra tải trọng xe</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11/2013/TT-BGTVT Ban hành Quy chuẩn kỹ thuật quốc gia về phân cấp và đóng tàu thủy cao tốc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31/2013/TT-BNNPTNT Ban hành Quy chuẩn kỹ thuật quốc gia về khảo nghiệm, kiểm định lợn giống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32/2013/TT-BNNPTNT Ban hành Quy chuẩn kỹ thuật Quốc gia về Kiểm dịch và Bảo vệ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11/2013/TT-BCT Ban hành Quy chuẩn kỹ thuật quốc gia về yêu cầu thiết kế cửa hàng xăng dầu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33/2013/TT-BNNPTNT Ban hành Quy chuẩn kỹ thuật Quốc gia về khảo nghiệm giống cây trồng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15/2013/TT-BTTTT Sửa đổi, bổ sung Thông tư số 20/2012/TT-BTTTT ngày 04 tháng 12 năm 2012 của Bộ trưởng Bộ Thông tin truyền thông ban hành Quy chuẩn kỹ thuật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16/2013/TT-BCT Ban hành Quy chuẩn kỹ thuật Quốc gia về dây dẫn tín hiệu nổ dùng cho kíp nổ vi sai phi điện an toàn sử dụng trong mỏ hầm lò có khí mêtan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17/2013/TT-BCT Ban hành Quy chuẩn kỹ thuật Quốc gia về kíp nổ vi sai phi điện an toàn sử dụng trong mỏ hầm lò có khí mêtan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164.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16/2013/TT-BKHCN Ban hành “Quy chuẩn kỹ thuật quốc gia về mạng lưới quan trắc và cảnh báo phóng xạ môi trường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18/2013/TT-BCT Ban hành Quy chuẩn kỹ thuật Quốc gia về an toàn chai chứa khí dầu mỏ hóa lỏng bằng thép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24/2013/TT-BGTVT Ban hành Quy chuẩn kỹ thuật quốc gia về chế tạo, kiểm tra chứng nhận thiết bị áp lực trong giao thông vận tải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21/2013/TT-BKHCN Quy định việc áp dụng tiêu chuẩn và quy chuẩn kỹ thuật về an toàn  hạt nhân trong lựa chọn địa điểm, thiết kế, xây dựng, vận hành  và tháo dỡ tổ máy điện hạt nhân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18/2013/TT-BTTTT Ban hành Quy chuẩn kỹ thuật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32/2013/TT-BTNMT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39/2013/TT-BGTVT Ban hành Quy chuẩn kỹ thuật quốc gia về xe đạp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26/2013/TT-BKHCN Quy định yêu cầu, trình tự và thủ tục chỉ định tổ chức đánh giá sự phù hợp nước ngoài  thực hiện đánh giá sự phù hợp của sản phẩm, hàng hóa theo quy chuẩn kỹ thuật quốc gia  do Bộ Khoa học và Công nghệ ban hành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48/2013/TT-BGTVT Ban hành Quy chuẩn kỹ thuật quốc gia về quản lý an toàn và ngăn ngừa ô nhiễm trong khai thác tàu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16/2013/TT-BVHTTDL Quy chuẩn kỹ thuật quốc gia về Rạp chiếu phim.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43/2013/TT-BTNMT Quy định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36/2013/TT-BLĐTBXH Ban hành Quy chuẩn kỹ thuật quốc gia về an toàn lao động đối với sàn thao tác treo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176.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37/2013/TT-BLĐTBXH Ban hành Quy chuẩn kỹ thuật quốc gia về an toàn lao động đối với Pa lăng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38/2013/TT-BLĐTBXH Ban hành Quy chuẩn kỹ thuật quốc gia về an toàn lao động đối với ống cách điện có chứa bọt và sào cách điện dạng đặc dùng để làm việc khi có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39/2013/TT-BLĐTBXH Ban hành Quy chuẩn kỹ thuật quốc gia về an toàn lao động đối với giày hoặc ủng cách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40/2013/TT-BLĐTBXH Ban hành Quy chuẩn kỹ thuật quốc gia về an toàn lao động đối với máy vận thăng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41/2013/TT-BLĐTBXH Ban hành Quy chuẩn kỹ thuật quốc gia về an toàn lao động đối với công việc hàn hơi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57/2013/TT-BTNMT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05/2014/TT-BNNPTNT Ban hành Quy chuẩn kỹ thuật quốc gia lĩnh vực trồng trọt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27/2014/TT-BTC Quy chuẩn kỹ thuật quốc gia đối với muối ăn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02/2014/TT-BTTTT Ban hành Quy chuẩn kỹ thuật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06/2014/TT-BGTVT Ban hành Quy chuẩn kỹ thuật Quốc gia về phân cấp và giám sát kỹ thuật hệ thống đường ống biển và Quy chuẩn kỹ thuật quốc gia về phân cấp và giám sát kỹ thuật kho chứa nổi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06/2014/TT-BTTTT Ban hành quy chuẩn kỹ thuật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18/2014/TT-BGTVT Ban hành Quy chuẩn kỹ thuật quốc gia về vật liệu và hàn thiết bị áp lực trong giao thông vận tải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16/2014/TT-BNNPTNT Ban hành Quy chuẩn kỹ thuật Quốc gia về Kiểm dịch và Bảo vệ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189.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31/2014/TT-BTNMT Ban hành Quy chuẩn kỹ thuật quốc gia về phương pháp thăm dò từ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32/2014/TT-BTNMT Ban hành Quy chuẩn kỹ thuật quốc gia về phương pháp thăm dò phóng xạ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33/2014/TT-BTNMT Ban hành Quy chuẩn kỹ thuật quốc gia về phương pháp thăm dò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18/2014/TT-BCT Ban hành Quy chuẩn kỹ thuật Quốc gia về an toàn trong sản xuất thuốc nổ công nghiệp bằng thiết bị di động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24/2014/TT-BGTVT Ban hành Quy chuẩn kỹ thuật quốc gia về hệ thống chống hà tàu biển, Quy chuẩn kỹ thuật quốc gia về hoạt động kéo trên biển, Quy chuẩn kỹ thuật quốc gia về phân cấp và chế tạo phao neo, phao tín hiệu và Quy chuẩn kỹ thuật quốc gia về các hệ thống ngăn ngừa ô nhiễm biển của tàu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25/2014/TT-BGTVT Ban hành Quy chuẩn kỹ thuật quốc gia về Vành hợp kim nhẹ dùng cho xe ô tô</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07/2014/TT-BTTTT Ban hành “Quy chuẩn kỹ thuật quốc gia về chất lượng dịch vụ tin nhắn ngắn trên mạng viễn thông di động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22/2014/TT-BNNPTNT Ban hành Quy chuẩn kỹ thuật Quốc gia về điều kiện nuôi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22/2014/TT-BNNPTTN Ban hành Quy chuẩn kỹ thuật Quốc gia về điều kiện nuôi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34/2014/TT-BGTVT Ban hành “Quy chuẩn kỹ thuật quốc gia về sơn tín hiệu trên đường cất hạ cánh, đường lăn, sân đỗ tàu bay”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11/2014/TT-BTTTT Ban hành quy chuẩn kỹ thuật quốc gia về chất lượng tín hiệu truyền hình số mặt đất DVB-T2 tại điểm thu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14/2014/TT-BXD Ban hành Quy chuẩn kỹ thuật quốc gia An toàn trong xây dựng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201.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51/2014/TT-BTNMT Quy định quy chuẩn kỹ thuật về môi trường trên địa bàn Thủ Đô Hà Nội.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45/2014/TT-BGTVT Ban hành Quy chuẩn kỹ thuật quốc gia về khí thải mức 3 đối với xe mô tô hai bánh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68/2014/TT-BGTVT Ban hành Quy chuẩn kỹ thuật quốc gia về kiểm soát tiếng ồn trên tàu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14/2014/TT-BTTTT Ban hành “Quy chuẩn kỹ thuật quốc gia về chất lượng tín hiệu truyền hình cáp số DVB - C tại điểm kết nối thuê bao”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48/2014/TT-BCT Ban hành Quy chuẩn kỹ thuật Quốc gia về trang thiết bị, phụ trợ sử dụng trong tồn trữ và phân phối xăng sinh học E10 tại cửa hàng xăng dầu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62/2014/TT-BTNMT Ban hành Quy chuẩn kỹ thuật quốc gia về kiểm soát chất lượng các kết quả phân tích mẫu địa chất, khoáng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47/2014/TT-BNNPTNT Ban hành Quy chuẩn kỹ thuật Quốc gia về điều kiện trồng, chăm sóc cao su kiến thiết cơ bản ở miền núi phía Bắc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52/2014/TT-BCT Ban hành Quy chuẩn kỹ thuật Quốc gia về an toàn đường ống dẫn hơi và nước nóng nhà máy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73/2014/TT-BGTVT Ban hành Quy chuẩn kỹ thuật quốc gia về thiết bị giám sát hành trình của xe ô tô</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21/2014/TT-BTTTT Ban hành Quy chuẩn kỹ thuật quốc gia về tương thích điện từ đối với thiết bị thông tin vô tuyến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48/2014/TT-BNNPTNT Hướng dẫn quản lý, xây dựng, ban hành quy chuẩn kỹ thuật quốc gia, công bố tiêu chuẩn quốc gia thuộc phạm vi quản lý của Bộ Nông nghiệp và Phát triển nông thôn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79/2014/TT-BGTVT Ban hành Quy chuẩn kỹ thuật quốc gia về quy phạm phân cấp và đóng phương tiện thủy nội địa vỏ gỗ</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20/2014/TT-BXD Ban hành Quy chuẩn kỹ thuật quốc gia về Hệ thống điện của nhà ở và nhà công cộng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21/2014/TT-BXD Ban hành Quy chuẩn kỹ thuật quốc gia về Xây dựng công trình đảm bảo người khuyết tật tiếp cận sử dụng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35/2014/TT-BLĐTBXH Quy chuẩn kỹ thuật quốc gia về an toàn lao động đối với Hệ thống cáp treo vận chuyển người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36/2014/TT-BLĐTBXH Ban hành Quy chuẩn kỹ thuật quốc gia đối với hệ thống chống rơi ngã cá nhân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37/2014/TT-BLĐTBXH Về việc ban hành Quy chuẩn kỹ thuật quốc gia đối với găng tay cách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82/2014/TT-BGTVT Ban hành Quy chuẩn kỹ thuật quốc gia về phân cấp và đóng du thuyền và Quy chuẩn kỹ thuật quốc gia về quy phạm phân cấp và đóng tàu biển vỏ thép - Sửa đổi lần 2 năm 2014</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02/2015/TT-BLĐTBXH Quy định mức lương đối với chuyên gia tư vấn trong nước làm cơ sở dự toán gói thầu cung cấp dịch vụ tư vấn áp dụng hình thức hợp đồng theo thời gian sử dụng vốn nhà nước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04/2015/TT-BGTVT Ban hành Quy chuẩn kỹ thuật quốc gia về chế tạo và kiểm tra thiết bị cứu sinh dùng cho phương tiện thủy nội địa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16/2015/TT-BNNPTNT Ban hành Quy chuẩn kỹ thuật Quốc gia về điều kiện nuôi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liên tịch 55/2015/TTLT-BTC-BKHCN Hướng dẫn định mức xây dựng, phân bổ dự toán và quyết toán kinh phí đối với nhiệm vụ khoa học và công nghệ có sử dụng ngân sách nhà nước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12/2015/TT-BTTTT Ban hành “Quy chuẩn kỹ thuật quốc gia về phổ tần số và bức xạ vô tuyến điện áp dụng cho các thiết bị thu phát vô tuyến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14/2015/TT-BTTTT Ban hành “Quy chuẩn kỹ thuật quốc gia về phát xạ vô tuyến đối với thiết bị truy nhập vô tuyến tốc độ cao băng tần 60 GHz”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24/2015/TT-BGTVT Ban hành Quy chuẩn kỹ thuật quốc gia về phương tiện giao thông đường sắt - Giá chuyển hướng toa xe - Yêu cầu kỹ thuật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14/2015/TT-BCT Ban hành Quy chuẩn kỹ thuật quốc gia về máy nổ mìn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15/2015/TT-BCT Ban hành Quy chuẩn kỹ thuật quốc gia về các loại kíp nổ</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16/2015/TT-BCT Ban hành Quy chuẩn kỹ thuật quốc gia về dây nổ chịu nước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17/2015/TT-BCT Ban hành Quy chuẩn kỹ thuật quốc gia về Amôni nitrat dùng để sản xuất thuốc nổ nhũ tương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18/2015/TT-BCT Ban hành Quy chuẩn kỹ thuật quốc gia về dây cháy chậm công nghiệp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19/2015/TT-BCT Ban hành Quy chuẩn kỹ thuật quốc gia về thuốc nổ Amonit AD1</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20/2015/TT-BCT Ban hành quy chuẩn kỹ thuật quốc gia về mồi nổ dùng cho thuốc nổ công nghiệp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17/2015/TT-BTTTT Ban hành “Quy chuẩn kỹ thuật quốc gia về chất lượng dịch vụ bưu chính công ích, dịch vụ công ích trong hoạt động phát hành báo chí”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237.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19/2015/TT-BTTTT Ban hành “Quy chuẩn kỹ thuật quốc gia về IPv6 đối với thiết bị nút”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33/2015/TT-BGTVT Ban hành Quy chuẩn kỹ thuật quốc gia về khí thải mức 4 đối với xe ô tô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23/2015/TT-BYT Ban hành Quy chuẩn kỹ thuật quốc gia đối với thuốc lá điếu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45/2015/TT-BGTVT Ban hành Quy chuẩn kỹ thuật quốc gia về cơ sở đóng mới, hoán cải, sửa chữa phục hồi phương tiện thủy nội địa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26/2015/TT-BTTTT Ban hành “Quy chuẩn kỹ thuật quốc gia về thiết bị âm thanh không dây dải tần 25 MHZ đến 2000 MHZ”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27/2015/TT-BTTTT Ban hành “Quy chuẩn kỹ thuật quốc gia về tương thích điện từ đối với thiết bị thông tin băng siêu rộng”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29/2015/TT-BTTTT Ban hành “Quy chuẩn kỹ thuật quốc gia về thiết bị truyền hình ảnh số không dây dải tần từ 1,3 GHz đến 50 GHz”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30/2015/TT-BTTTT Ban hành “Quy chuẩn kỹ thuật quốc gia về tương thích điện từ đối với thiết bị truyền hình ảnh số không dây”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35/2015/TT-BYT Ban hành Quy chuẩn kỹ thuật quốc gia về vệ sinh an toàn đối với bao bì, dụng cụ làm bằng thủy tinh, gốm, sứ và tráng men tiếp xúc trực tiếp với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36/2015/TT-BCT Ban hành Quy chuẩn kỹ thuật quốc gia đối với sản phẩm khăn giấy và giấy vệ sinh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32/2015/TT-BTTTT Ban hành “Quy chuẩn kỹ thuật quốc gia về tương thích điện từ đối với thiết bị vô tuyến cự ly ngắn dải tần từ 9 kHz đến 40 GHz”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33/2015/TT-BTTTT Ban hành “Quy chuẩn kỹ thuật quốc gia về thiết bị nhận dạng vô tuyến (RFID) băng tần từ 866 MHz đến 868 MHz”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249.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64/2015/TT-BGTVT Ban hành Quy chuẩn kỹ thuật quốc gia về kiểm tra và chế tạo công-te-nơ vận chuyển trên các phương tiện vận tải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66/2015/TT-BGTVT Ban hành sửa đổi 1:2015 QCVN 68:2013/BGTVT Quy chuẩn kỹ thuật quốc gia về xe đạp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67/2015/TT-BGTVT Ban hành Quy chuẩn kỹ thuật quốc gia về chất lượng an toàn kỹ thuật và bảo vệ môi trường đối với xe mô tô, xe gắn máy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71/2015/TT-BGTVT Ban hành Quy chuẩn kỹ thuật quốc gia về kiểm tra sản phẩm công nghiệp dùng cho tàu biển và Quy chuẩn kỹ thuật quốc gia về đánh giá năng lực cơ sở chế tạo và cung cấp dịch vụ tàu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72/2015/TT-BGTVT Ban hành Quy chuẩn kỹ thuật quốc gia về phân cấp và đóng sàn nâng tàu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22/2015/TT-BKHCN Về việc ban hành và thực hiện “Quy chuẩn kỹ thuật quốc gia về xăng, nhiên liệu điêzen và nhiên liệu sinh học”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73/2015/TT-BGTVT Ban hành Quy chuẩn kỹ thuật quốc gia về Bến xe khách sửa đổi lần 1 năm 2015</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75/2015/TT-BGTVT Ban hành Quy chuẩn kỹ thuật quốc gia về báo hiệu hàng hải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46/2015/TT-BYT Ban hành Quy chuẩn kỹ thuật quốc gia về hương liệu thực phẩm - Các chất tạo hương vani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47/2015/TT-BYT Ban hành Quy chuẩn kỹ thuật quốc gia về chất hỗ trợ chế biến thực phẩm - Dung môi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48/2015/TT-BLĐTBXH Ban hành Quy chuẩn kỹ thuật quốc gia về an toàn lao động đối với Sàn nâng dùng để nâng người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49/2015/TT-BLĐTBXH Ban hành Quy chuẩn kỹ thuật quốc gia về an toàn lao động đối với Hệ thống đường ống dẫn khí đốt cố định bằng kim loại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261.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50/2015/TT-BLĐTBXH Ban hành Quy chuẩn kỹ thuật quốc gia về an toàn lao động đối với Hệ thống lạnh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51/2015/TT-BLĐTBXH Ban hành Quy chuẩn kỹ thuật quốc gia về an toàn lao động đối với Xe nâng hàng sử dụng động cơ, có tải trọng nâng từ 1.000kg trở lên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79/2015/TT-BGTVT Ban hành Quy chuẩn kỹ thuật quốc gia về Trung tâm sát hạch lái xe cơ giới đường bộ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34/2015/TT-BTTTT Ban hành “Quy chuẩn kỹ thuật quốc gia về máy thu trực canh gọi chọn số trên tàu biển hoạt động trên các băng tần số MF, MF/HF và VHF trong nghiệp vụ di động hàng hải”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47/2015/TT-BCT Ban hành Quy chuẩn kỹ thuật quốc gia về yêu cầu thiết kế cửa hàng xăng dầu trên mặt nước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64/2015/TT-BTNMT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65/2015/TT-BTNMT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66/2015/TT-BTNMT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67/2015/TT-BTNMT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37/2015/TT-BTTTT Ban hành "Quy chuẩn kỹ thuật quốc gia về thiết bị truyền dẫn dữ liệu tốc độ trung bình dải tần 5,8GHz ứng dụng trong lĩnh vực giao thông vận tải"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39/2015/TT-BTTTT Ban hành "Quy chuẩn kỹ thuật quốc gia về tương thích điện từ đối với thiết bị trung kế vô tuyến mặt đất (TETRA)"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40/2015/TT-BTTTT Ban hành "Quy chuẩn kỹ thuật quốc gia về chất lượng dịch vụ điện thoại trên mạng viễn thông di động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273.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28/2015/TT-BKHCN Ban hành Quy chuẩn kỹ thuật quốc gia đối với thiết bị chụp X-quang tổng hợp dùng trong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82/2015/TT-BGTVT Ban hành Quy chuẩn kỹ thuật quốc gia về động cơ sử dụng cho xe mô tô, xe gắn máy điện và Quy chuẩn kỹ thuật quốc gia về ắc quy sử dụng cho xe mô tô, xe gắn máy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76/2015/TT-BTNMT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87/2015/TT-BGTVT Ban hành Quy chuẩn kỹ thuật quốc gia về chất lượng an toàn kỹ thuật và bảo vệ môi trường đối với xe ô tô</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88/2015/TT-BGTVT Ban hành Quy chuẩn kỹ thuật quốc gia về chất lượng an toàn kỹ thuật đối với rơ moóc và sơ mi rơ moóc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90/2015/TT-BGTVT Ban hành Quy chuẩn kỹ thuật quốc gia về chất lượng an toàn kỹ thuật và bảo vệ môi trường đối với ô tô khách thành phố</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01/2016/TT-BXD Ban hành Quy chuẩn kỹ thuật quốc gia về các công trình hạ tầng kỹ thuật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03/2016/TT-BTNMT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02/2016/TT-BKHCN ban hành Quy chuẩn kỹ thuật quốc gia đối với thiết bị chụp cắt lớp vi tính dùng trong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04/2016/TT-BTNMT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11/2016/TT-BGTVT Ban hành Quy chuẩn kỹ thuật quốc gia về phân cấp và đóng tàu biển vỏ thép, Quy chuẩn kỹ thuật quốc gia về phân cấp và đóng tàu biển cao tốc, Quy chuẩn kỹ thuật quốc gia về trang bị an toàn tàu biển và Quy chuẩn kỹ thuật quốc gia về kiểm tra và đóng tàu biển vỏ gỗ</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109/2016/TT-BTC Quy định lập dự toán, quản lý, sử dụng và quyết toán kinh phí thực hiện các cuộc điều tra thống kê, Tổng điều tra thống kê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285.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27/2016/TT-BNNPTNT Ban hành quy chuẩn kỹ thuật quốc gia lĩnh vực thức ăn chăn nuôi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149/2016/TT-BTC Về Quy chuấn kỹ thuật quốc gia đối với thuốc thú y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36/2016/TT-BGTVT Ban hành Quy chuẩn kỹ thuật quốc gia về quy phạm giám sát kỹ thuật và đóng phương tiện thủy nội địa cỡ nhỏ và Quy chuẩn kỹ thuật quốc gia về quy phạm phân cấp và đóng phương tiện thủy nội địa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28/2016/TT-BTTTT ban hành "Quy chuẩn kỹ thuật quốc gia về thiết bị chỉ góc hạ cánh trong hệ thống vô tuyến dẫn đường hàng không"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31/2016/TT-BTTTT Ban hành "Quy chuẩn kỹ thuật quốc gia về tương thích điện từ đối với thiết bị trạm gốc, lặp và phụ trợ trong hệ tống thông tin di động GSM, W-CDMA FDD và LTE"</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321/2016/TT-BTC Về Quy chuấn kỹ thuật quốc gia đối với phao tròn cứu sinh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322/2016/TT-BTC Về Quy chuẩn kỹ thuật quốc gia đối với phao áo cứu sinh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21/2016/TT-BKHCN Ban hành sửa đổi 1:2016 QCVN 4:2009/BKHCN Quy chuẩn kỹ thuật quốc gia về An toàn thiết bị điện và điện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31/2016/TT-BCT Ban hành Quy chuẩn kỹ thuật Quốc gia về an toàn đường ống dẫn khí đốt cố định bằng kim loại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32/2016/TT-BCT Ban hành Quy chuẩn kỹ thuật Quốc gia về an toàn tời trục mỏ</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42/2016/TT-BGTVT Ban hành Quy chuẩn kỹ thuật quốc gia về vận hành, bảo trì đường sắt đô thị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43/2016/TT-BGTVT Ban hành Quy chuẩn kỹ thuật quốc gia về phân cấp và đóng phương tiện thủy nội địa chế tạo bằng vật liệu polypropylen copolyme (PPC)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297.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33/2016/TT-BCT Sửa đổi, bổ sung một số điều của Thông tư số 36/2015/TT-BCT ngày 28 tháng 10 năm 2015 ban hành Quy chuẩn kỹ thuật quốc gia đối với sản phẩm khăn giấy và giấy vệ sinh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33/2016/TT-BTTTT Ban hành "Quy chuẩn kỹ thuật quốc gia về thiết bị nhận dạng tự động phát báo tìm kiếm cứu nạn"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338/2016/TT-BTC Quy định lập dự toán, quản lý, sử dụng và quyết toán kinh phí ngân sách nhà nước bảo đảm cho công tác xây dựng văn bản quy phạm pháp luật và hoàn thiện hệ thống pháp luật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01/2017/TT-BGTVT Ban hành Quy chuẩn kỹ thuật quốc gia về hệ thống phòng học chuyên môn, phòng thi, kiểm tra; xưởng thực hành; khu vực dạy thực hành lái và vận hành máy của cơ sở đào tạo thuyền viên, người lái phương tiện thủy nội địa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09/2017/TT-BTC về Quy chuẩn kỹ thuật quốc gia đối với máy bơm nước chữa cháy (đồng bộ thiết bị chữa cháy rừng)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03/2017/TT-BNNPTNT Ban hành quy chuẩn kỹ thuật quốc gia về yêu cầu bảo đảm an toàn thực phẩm trong sản xuất kinh doanh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08/2017/TT-BGTVT Ban hành Quy chuẩn kỹ thuật quốc gia về báo động và chỉ báo trên tàu biển, Quy chuẩn kỹ thuật quốc gia về phân cấp và đóng tàu biển vỏ thép - Sửa đổi 1, Quy chuẩn kỹ thuật quốc gia về các hệ thống ngăn ngừa ô nhiễm biển của tàu, Quy chuẩn kỹ thuật quốc gia về thiết bị nâng trên tàu biển và Quy chuẩn kỹ thuật quốc gia về giám sát và đóng tàu biển cỡ nhỏ</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09/2017/TT-BGTVT Ban hành Quy chuẩn kỹ thuật quốc gia về thiết bị nâng trên các phương tiện thủy nội địa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07/2017/TT-BNNPTNT Ban hành quy chuẩn kỹ thuật quốc gia “ Sản phẩm thủy sản – Cá tra phi lê đông lạnh”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02/2017/TT-BTTTT Ban hành "Quy chuẩn kỹ thuật quốc gia về cấu trúc thông điệp dữ liệu công dân trao đổi với cơ sở dữ liệu quốc gia về dân cư"</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10/2017/TT-BGTVT Ban hành Quy chuẩn kỹ thuật quốc gia về thiết bị nâng trên các công trình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308.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40/2017/TT-BTC Quy định chế độ công tác phí, chế độ chi hội nghị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309.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15/2017/TT-BGTVT Ban hành Quy chuẩn kỹ thuật quốc gia về phân cấp và đóng phương tiện thủy nội địa vỏ thép chở xô hóa chất nguy hiểm - Sửa đổi lần 1:2016 QCVN 01:2008/BGTVT và Quy chuẩn kỹ thuật quốc gia về ngăn ngừa ô nhiễm do phương tiện thủy nội địa - Sửa đổi lần 2:2016 QCVN 17:2011/BGTVT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04/2017/TT-BKHCN Sửa đổi 1:2017 QCVN 1:2015/BKHCN quy chuẩn kỹ thuật quốc gia về xăng, nhiên liệu điêzen và nhiên liệu sinh học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12/2017/TT-BNNPTNT Thông tư ban hành Quy chuẩn kỹ thuật Quốc gia về yêu cầu kỹ thuật đối với cơ sở sản xuất giống và nuôi cá rô phi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13/2017/TT-BNNPTNT Thông tư ban hành Quy chuẩn kỹ thuật Quốc gia lĩnh vực Thú 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20/2017/TT-BLĐTBXH Ban hành Quy chuẩn kỹ thuật quốc gia về an toàn lao động đối với Đường ống dẫn hơi nước và nước nóng``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16/2017/TT-BNNPTNT Ban hành quy chuẩn kỹ thuật quốc gia về yêu cầu vệ sinh đối với cơ sở sản xuất tinh lợn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94/2017/TT-BTC Về Quy chuẩn kỹ thuật quốc gia đối với máy phát điện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31/2017/TT-BGTVT Ban hành Quy chuẩn kỹ thuật quốc gia về kính an toàn của xe ô tô, Quy chuẩn kỹ thuật quốc gia về lốp hơi dùng cho ô tô, Quy chuẩn kỹ thuật quốc gia về đặc tính quang học đèn chiếu sáng phía trước của phương tiện giao thông cơ giới đường bộ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94/2017/TT-BTC về Quy chuẩn kỹ thuật quốc gia đối với máy phát điện dự trừ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31/2017/TT-BTNMT Ban hành quy chuẩn kỹ thuật quốc gia về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10/2017/TT-BXD Ban hành Quy chuẩn kỹ thuật quốc gia về sản phẩm, hàng hóa vật liệu xây dựng và hướng dẫn chứng nhận hợp quy, công bố hợp quy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25/2017/TT-BTTTT Ban hành "Quy chuẩn Kỹ thuật quốc gia về thiết bị trạm lặp thông tin di động E-UTRA FDD - Phần truy nhập vô tuyến"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48/2017/TT-BTNMT Ban hành Quy chuẩn kỹ thuật quốc gia về mã luật khí tượng trên cao và ra đa thời tiết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33/2017/TT-BTTTT Ban hành "Quy chuẩn kỹ thuật quốc gia về thiết bị vi ba số điểm - điểm"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15/2017/TT-BKHCN Quy chuẩn kỹ thuật quốc gia đối với máy gia tốc tuyến tính dùng trong xạ trị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29/2017/TT-BCT. Ban hành Quy chuẩn kỹ thuật Quốc gia về an toàn chai khí dầu mỏ hóa lỏng mini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15/2017/TT-BXD Ban hành Quy chuẩn kỹ thuật quốc gia về Các công trình xây dựng sử dụng năng lượng hiệu quả</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31/2017/TT-BCT Ban hành Quy chuẩn kỹ thuật quốc gia về an toàn trong khai thác mỏ quặng hầm lò.</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15/2018/TT-BGTVT Ban hành Quy chuẩn kỹ thuật quốc gia về Kiểm soát và quản lý nước dằn và cặn nước dằn tàu biển, mã số đăng ký: QCVN 99: 2017/BGTVT; Quy chuẩn kỹ thuật quốc gia về Phân cấp và đóng tàu biển vỏ thép - Sửa đổi 2: 2017, mã số đăng ký: Sửa đổi 2: 2017 QCVN 21: 2015/BGTVT; Quy chuẩn kỹ thuật quốc gia về Trang bị an toàn tàu biển - Sửa đổi 1: 2017, mã số đăng ký: Sửa đổi 1: 2017 QCVN 42: 2015/BGTVT; Quy chuẩn kỹ thuật quốc gia về Phân cấp và đóng du thuyền - Sửa đổi 1: 2017, mã số đăng ký: Sửa đổi 1: 2017 QCVN 81: 2014/BGTVT; Quy chuẩn kỹ thuật quốc gia về phân cấp và giám sát kỹ thuật giàn cố định trên biển - Sửa đổi 1: 2017, mã số đăng ký: Sửa đổi 1: 2017 QCVN 49: 2017/BGTVT.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02/2018/TT-BTTTT Ban hành “Quy chuẩn kỹ thuật quốc gia về thiết bị đầu cuối thông tin di động E-UTRA - Phần truy nhập vô tuyến”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07/2018/TT-BCT Sửa đổi Thông tư số 21/2017/TT-BCT ngày 23 tháng 10 năm 2017 của Bộ trưởng Bộ Công Thương ban hành Quy chuẩn kỹ thuật quốc gia về mức giới hạn hàm lượng formaldehyt và các amin thơm chuyển hóa từ thuốc nhuộm azo trong sản phẩm dệt may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330.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05/2018/TT-BTTTT Ban hành "Quy chuẩn kỹ thuật quốc gia về thiết bị lặp thông tin di động W-CDMA FDD"</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06/2018/TT-BTTTT Ban hành "Quy chuẩn kỹ thuật quốc gia về thiết bị lặp thông tin di động W-CDMA FDD"</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30/2018/TT-BGTVT Ban hành 02 Quy chuẩn kỹ thuật quốc gia về phương tiện giao thông đường sắt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06/2018/TT-BKHCN Ban hành “Quy chuẩn kỹ thuật quốc gia về dầu nhờn động cơ đốt trong”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32/2018/TT-BGTVT Ban hành 02 Quy chuẩn kỹ thuật quốc gia về đường sắt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04/2018/TT-BXD Ban hành Quy chuẩn kỹ thuật quốc gia về Xây dựng và lắp đặt phương tiện quảng cáo ngoài trời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08/2018/TT-BTTTT Ban hành "Quy chuẩn kỹ thuật quốc gia về tương thích điện từ cho thiết bị đa phương tiện- Yêu cầu phát xạ"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07/2018/TT-BKHCN Ban hành Sửa đổi 01:2018 QCVN 09:2012/BKHCN Quy chuẩn kỹ thuật quốc gia về tương thích điện từ đối với thiết bị điện và điện tử và mục đích tương tự</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39/2018/TT-BGTVT Ban hành Quy chuẩn kỹ thuật quốc gia về quy phạm phân cấp và đóng phương tiện thủy nội địa – Sửa đổi lần 2:2018 QCVN 72:2013/BGTVT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10/2018/TT-BKHCN Sửa đổi, bổ sung một số điều của Thông tư số 06/2018/TT-BKHCN ngày 15 tháng 5 năm 2018 của Bộ trưởng Bộ Khoa học và Công nghệ ban hành “Quy chuẩn kỹ thuật quốc gia về dầu nhờn động cơ đốt trong”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10/2018/TT-BNNPTNT Ban hành Quy chuẩn kỹ thuật quốc gia thuốc thú y - Yêu cầu chung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20/2018/TT-BCT Sửa đổi Phụ lục I “Danh mục sản phẩm dệt may chịu sự điều chỉnh của Quy chuẩn” ban hành kèm theo Quy chuẩn kỹ thuật quốc gia QCVN:01/2017/BCT tại Thông tư số 21/2017/TT-BCT ngày 23 tháng 10 năm 2017 của Bộ trưởng Bộ Công Thương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342.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11/2018/TT-BNNPTNT ban hành “Quy chuẩn kỹ thuật quốc gia về chợ đầu mối, chợ đấu giá nông lâm thủy sản - Yêu cầu đảm bảo an toàn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12/2018/TT-BNNPTNT Ban hành Quy chuẩn kỹ thuật quốc gia về chất lượng thuốc bảo vệ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15/2018/TT-BLĐTBXH Ban hành quy chuẩn kỹ thuật quốc gia về An toàn lao động đối với Thang máy gia đình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53/2018/TT-BGTVT Ban hành Quy chuẩn kỹ thuật quốc gia về hệ thống xử lý nước thải trên tàu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14/2018/TT-BKHCN Ban hành 03 Quy chuẩn kỹ thuật quốc gia đối với thiết bị X-quang dùng trong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41/2018/TT-BYT ban hành Quy chuẩn kỹ thuật quốc gia và quy định kiểm tra, giám sát chất lượng nước sạch sử dụng cho mục đích sinh hoạt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18/2018/TT-BKHCN Hướng dẫn thực hiện một số điều của Nghị định số 119/2017/NĐ-CP ngày 01 tháng 11 năm 2017 của Chính phủ quy định về xử phạt vi phạm hành chính trong lĩnh vực tiêu chuẩn, đo lường và chất lượng sản phẩm, hàng hóa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349.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29/2018/TT-BLĐTBXH Ban hành quy chuẩn kỹ thuật quốc gia về an toàn lao động khi làm việc trong không gian hạn chế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11/2018/TT-BXD Ban hành Quy chuẩn kỹ thuật quốc gia về Công trình tàu điện ngầm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12/2018/TT-BXD Ban hành Quy chuẩn kỹ thuật quốc gia về Gara ôtô</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40/2018/TT-BNNPTNT Ban hành Quy chuẩn kỹ thuật quốc gia về keo dán gỗ</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19/2018/TT-BTTTT Thông tư Ban hành “Quy chuẩn kỹ thuật quốc gia về thiết bị vô tuyến di động mặt đất có ăng ten liền dùng cho thoại tương tự”</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354.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20/2018/TT-BTTTT Ban hành "Quy chuẩn kỹ thuật quốc gia về thiết bị vô tuyến di động mặt đất có ăng ten liền dùng cho truyền dữ liệu và thoại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21/2018/TT-BTTTT Thông tư Ban hành “Quy chuẩn kỹ thuật quốc gia về phao vô tuyến chỉ vị trí khẩn cấp hàng hải (EPIRB) hoạt động ở băng tần 406,0 MHz đến 406,1 MHz”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134/2018/TT-BTC Ban hành quy chuẩn kỹ thuật quốc gia đối với xuồng (tàu) cao tốc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05/2019/TT-BLĐTBXH Ban hành quy chuẩn kỹ thuật quốc gia về an toàn lao động đối với hệ thống máng trượt dùng trong công trình vui chơi công cộng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 /2019/TT-BGTVT Ban hành Quy chuẩn kỹ thuật quốc gia về các hệ thống ngăn ngừa ô nhiễm biển của tàu</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15/2019/TT-BGTVT Ban hành Quy chuẩn kỹ thuật quốc gia về cơ sở vật chất, trang thiết bị đào tạo của cơ sở đào tạo, huấn luyện thuyền viên hàng hải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24/2019/TT-BGTVT Ban hành Quy chuẩn kỹ thuật quốc gia về hệ thống thiết bị phòng vệ đường ngang cảnh báo tự động - QCVN 104:2019/BGTVT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05/2019/TT-BTTTT Ban hành "Quy chuẩn kỹ thuật quốc gia về chất lượng dịch vụ điện thoại trên mạng viễn thông cố định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16/2019/TT-BYT Ban hành Quy chuẩn kỹ thuật quốc gia đối với vitamin A để bổ sung vào dầu thực vật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26/2019/TT-BGTVT Ban hành Quy chuẩn kỹ thuật quốc gia về ô tô khách thành phố để người khuyết tật tiếp cận, sử dụng và 05 Quy chuẩn kỹ thuật quốc gia về phụ tùng, linh kiện ô tô, mô tô, xe gắn máy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07/2019/TT-BNNPTNT Ban hành Quy chuẩn kỹ thuật Quốc gia về thức ăn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 xml:space="preserve">Thông tư 27/2019/TT-BGTVT Ban hành Thông tư ban hành Quy chuẩn kỹ thuật quốc gia về cơ sở đóng mới, sửa chữa tàu biển; Quy chuẩn kỹ thuật quốc gia về thiết bị áp lực trên phương tiện giao thông vận tải và phương tiện, thiết bị thăm dò, khai thác trên biển; Quy kỹ thuật quốc gia về chế tạo và kiểm tra phương tiện, thiết bị xếp dỡ; Quy chuẩn kỹ thuật quốc gia về an toàn lao động và </w:t>
            </w:r>
            <w:r>
              <w:rPr>
                <w:color w:val="000000"/>
                <w:sz w:val="24"/>
                <w:szCs w:val="24"/>
              </w:rPr>
              <w:lastRenderedPageBreak/>
              <w:t>kỹ thuật nồi hơi lắp đặt trên phương tiện, thiết bị thăm dò và khai thác trên biển và Quy chuẩn kỹ thuật quốc gia về Phân cấp và đóng tàu biển vỏ thép - Sửa đổi 3: 2018</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366.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08/2019/TT-BNNPTNT Ban hành Quy chuẩn kỹ thuật Quốc gia về sản phẩm xử lý môi trường nuôi trồng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14/2019/TT-BCT. Sửa đổi, bổ sung một số điều của Thông tư số 32/2016/TT-BCT ngày 15 tháng 12 năm 2016 của Bộ trưởng Bộ Công Thương ban hành “Quy chuẩn kỹ thuật quốc gia về an toàn tời trục mỏ”</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07/2019/TT-BTTTT Ban hành "Quy chuẩn kỹ thuật quốc gia về chất lượng dịch vụ điện thoại trên mạng viễn thông cố định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08/2019/TT-BTTTT Ban hành "Quy chuẩn kỹ thuật quốc gia về chất lượng dịch vụ truy nhập Internet băng rộng cố định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09/2019/TT-BTTTT Ban hành "Quy chuẩn kỹ thuật quốc gia về chất lượng dịch vụ truy nhập Internet trên mạng viễn thông di động mặt đất"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09/2019/TT-BNNPTNT ban hành Quy chuẩn kỹ thuật quốc gia về chất lượng phân bón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30/2019/TT-BGTVT Ban hành Quy chuẩn kỹ thuật quốc gia về đơn vị Đăng kiểm xe cơ giới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13/2019/TT-BLĐTBXH Ban hành Quy chuẩn kỹ thuật quốc gia đối với Quần áo bảo vệ chống nhiệt và lửa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14/2019/TT-BLĐTBXH Ban hành Quy chuẩn kỹ thuật quốc gia đối với Phương tiện bảo vệ cá nhân - giày ủng an toàn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08/2019/TT-BKHCN Ban hành “Quy chuẩn kỹ thuật quốc gia về sản phẩm chiếu sáng bằng công nghệ LED”</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09/2019/TT-BKHCN Ban hành “Quy chuẩn kỹ thuật quốc gia về an toàn đồ chơi trẻ em”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377.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10/2019/TT-BTTTT Ban hành "Quy chuẩn kỹ thuật quốc gia về tương thích điện từ cho thiết bị đầu cuối và phụ trợ trong hệ thống thông tin di động"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52/2019/TT-BCA Ban hành Quy chuẩn kỹ thuật quốc gia đối với “Hệ thống phòng cháy và chữa cháy cho kho chứa, cảng xuất, nhập  và trạm phân phối khí đốt”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45/2019/TT-BGTVT Ban hành 03 Quy chuẩn kỹ thuật quốc gia về ắc quy, động cơ sử dụng cho xe đạp điện và động cơ sử dụng cho xe mô tô,  xe gắn máy điện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78/2019/TT-BTC Ban hành quy chuẩn kỹ thuật quốc gia đối với gạo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13/2019/TT-BKHCN Ban hành “quy chuẩn kỹ thuật quốc gia về thép làm cốt bê tông”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14/2019/TT-BKHCN Ban hành “quy chuẩn kỹ thuật quốc gia về khí dầu mỏ hóa lỏng (LPG)”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32/2019/TT-BCT Ban hành Quy chuẩn kỹ thuật quốc gia về an toàn trong sản xuất, thử nghiệm, nghiệm thu, bảo quản, vận chuyển, sử dụng, tiêu hủy vật liệu nổ công nghiệp và bảo quản tiền chất thuốc nổ</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14/2019/TT-BTTTT Thông tư Ban hành Quy chuẩn kỹ thuật quốc gia về tương thích điện từ đối với thiết bị thông tin vô tuyến và dẫn đường hàng hải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35/2019/TT-BCT. Ban hành Quy chuẩn kỹ thuật quốc gia về an toàn Trạm nạp khí dầu mỏ hóa lỏng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22/2019/TT-BKHCN Ban hành Quy chuẩn kỹ thuật quốc gia đối với thiết bị X - quang chụp vú và thiết bị xạ trị áp sát nạp nguồn sau bằng điều khiển từ xa dùng trong y tế</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18/2019/TT-BTTTT Ban hành “Quy chuẩn kỹ thuật quốc gia về cấu trúc, định dạng dữ liệu gói tin phục vụ kết nối Cổng Dịch vụ công quốc gia với Cổng Dịch vụ công, hệ thống thông tin một cửa điện tử cấp bộ, cấp tỉnh và các cơ sở dữ liệu quốc gia, chuyên ngành”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22/2019/TT-BTNMT Ban hành Quy chuẩn kỹ thuật quốc gia về dự báo, cảnh báo lũ</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389.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42/2019/TT-BLĐTBXH Ban hành Quy chuẩn kỹ thuật quốc gia về an toàn lao động đối với thang máy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19/2019/TT-BXD Ban hành Quy chuẩn kỹ thuật quốc gia về sản phẩm, hàng hóa vật liệu xây dựng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20/2019/TT-BTTTT Ban hành “Quy chuẩn kỹ thuật quốc gia về lắp đặt mạng cáp ngoại vi viễn thông”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54/2019/TT-BGTVT Ban hành Quy chuẩn kỹ thuật quốc gia về báo hiệu đường bộ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03/2020/TT-BNNPTNT Ban hành Quy chuẩn kỹ thuật Quốc gia về sản phẩm xử lý môi trường nuôi trồng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04/2020/TT-BNNPTNT Ban hành Quy chuẩn kỹ thuật quốc gia về thức ăn chăn nuôi và nguyên liệu sản xuất thức ăn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05/2020/TT-BNNPTNT Ban hành Quy chuẩn kỹ thuật Quốc gia về giống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08/2020/TT-BGTVT Ban hành Quy chuẩn kỹ thuật Quốc gia về báo hiệu đường thủy nội địa Việt Nam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52/2020/TT-BCA Ban hành Quy chuẩn kỹ thuật quốc gia về Tram bơm nước chữa cháy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48/2020/TT-BTC Ban hành Sửa đổi 1: 2020 QCVN 08: 2018/BTC quy chuẩn kỹ thuật quốc gia đối với xuồng (tàu) cao tốc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08/2020/TT-BNNPTNT Sửa đổi, bổ sung Điều 2 của Thông tư số 04/2020/TT-BNNPTNT ngày 09/3/2020 của Bộ trưởng Bộ Nông nghiệp và Phát triển nông thôn ban hành Quy chuẩn kỹ thuật quốc gia về thức ăn chăn nuôi và nguyên liệu sản xuất thức ăn thuỷ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15/2020/TT-BTTTT Ban hành “Quy chuẩn kỹ thuật quốc gia về pin lithium cho thiết bị cầm tay”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401.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16/2020/TT-BTTTT Ban hành “Quy chuẩn kỹ thuật quốc gia về chống sét cho các trạm viễn thông và mạng cáp ngoại vi viễn thông”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17/2020/TT-BTTTT Ban hành "Quy chuẩn kỹ thuật quốc gia về thiết bị thu truyền hình số mặt đất DVB-T2"</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06/2020/TT-BTNMT Ban hành Quy chuẩn kỹ thuật quốc gia về chuẩn thông tin địa lý cơ sở</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20/2020/TT-BTTTT Ban hành “Quy chuẩn kỹ thuật quốc gia về thiết bị điện thoại VHF sử dụng trên phương tiện cứu sinh”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25/2020/TT-BTTTT Ban hành “Quy chuẩn kỹ thuật quốc gia về thiết bị điện thoại VHF sử dụng cho nghiệp vụ di động hàng hải”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27/2020/TT-BTTTT Ban hành “Quy chuẩn kỹ thuật quốc gia về tín hiệu truyền hình cáp tương tự tại điểm kết nối thuê bao”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28/2020/TT-BTTTT Ban hành “Quy chuẩn kỹ thuật quốc gia về chất lượng dịch vụ truyền hình cáp số ứng dụng công nghệ DVB-T2”</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25/2020/TT-BGTVT Ban hành Quy chuẩn kỹ thuật quốc gia về phân cấp và đóng tàu biển cao tốc, Quy chuẩn kỹ thuật quốc gia về hệ thống điều khiển tự động và từ xa, Quy chuẩn kỹ thuật quốc gia về hoạt động kéo trên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409.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87/2020/TT-BTC Ban hành quy chuẩn kỹ thuật quốc gia đối với thóc tẻ dự trữ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34/2020/TT-BTTTT Ban hành “Quy chuẩn kỹ thuật quốc gia về thiết bị vô tuyến cự ly ngắn băng tần 1 GHz đến 40 GHz”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35/2020/TT-BTTTT Ban hành “Quy chuẩn kỹ thuật quốc gia về thiết bị truyền dữ liệu băng rộng hoạt động trong băng tần 2,4 GHz”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38/2020/TT-BTTTT Thông tư Ban hành “Quy chuẩn kỹ thuật quốc gia về thiết bị vô tuyến mạng diện rộng công suất thấp (LPWAN) băng tần 920 MHz đến 923 MHz”</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413.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33 /2020/TT-BGTVT Ban hành sửa đổi 01:2020 QCVN 86:2015/BGTVT quy chuẩn kỹ thuật quốc gia về khí thải mức 4 đối với xe ô tô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37/2020/TT-BGTVT Ban hành 02 Quy chuẩn kỹ thuật quốc gia về thiết bị phục vụ quản lý đào tạo lái xe</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18/2020/TT-BTNMT Ban hành Quy chuẩn kỹ thuật quốc gia về dự báo, cảnh báo bão, áp thấp nhiệt đới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31/2020/TT-BYT ban hành 10 Quy chuẩn kỹ thuật quốc gia đối với phụ gia thực phẩm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43/2020/TT-BTTTT Ban hành “Quy chuẩn kỹ thuật quốc gia về thiết bị đầu cuối thông tin di động mặt đất - Phần truy nhập vô tuyến”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06/2021/TT-BGTVT Ban hành quy chuẩn kỹ thuật quốc gia về khí thải mức 5 đối với xe ô tô sản xuất, lắp ráp và nhập khẩu mới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08/2021/TT-BGTVT Ban hành Quy chuẩn kỹ thuật quốc gia về cảng biển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09/2021/TT-BGTVT Ban hành Quy chuẩn kỹ thuật quốc gia về cảng cạn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01/2021/TT-BXD Thông tư ban hành QCVN 01:2021/BXD quy chuẩn kỹ thuật quốc gia về Quy hoạch xây dựng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02/2021/TT-BXD Thông tư 02/2021/TT-BXD Ban hành QCVN 06:2021/BXD quy chuẩn kỹ thuật quốc gia về An toàn cháy cho nhà và công trình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03/2021/TT-BXD Thông tư  ban hành QCVN 04:2021/BXD quy chuẩn kỹ thuật quốc gia về Nhà chung cư</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 xml:space="preserve">Thông tư </w:t>
            </w:r>
            <w:bookmarkStart w:id="0" w:name="_GoBack"/>
            <w:r>
              <w:rPr>
                <w:color w:val="000000"/>
                <w:sz w:val="24"/>
                <w:szCs w:val="24"/>
              </w:rPr>
              <w:t>04/</w:t>
            </w:r>
            <w:bookmarkEnd w:id="0"/>
            <w:r>
              <w:rPr>
                <w:color w:val="000000"/>
                <w:sz w:val="24"/>
                <w:szCs w:val="24"/>
              </w:rPr>
              <w:t>2021/TT-BKHCN Ban hành “Quy chuẩn kỹ thuật quốc gia về mũ bảo hiểm cho người đi mô tô, xe máy”</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425.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02/2021/TT-BTTTT Ban hành “Quy chuẩn kỹ thuật quốc gia về cấu trúc, định dạng dữ liệu phục vụ kết nối, tích hợp, chia sẻ dữ liệu giữa các hệ thống thông tin báo cáo trong Hệ thống thông tin báo cáo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05/2021/TT-BNNPTNT Ban hành Sửa đổi 1:2021 QCVN 01-190:2020/BNNPTNT quy chuẩn kỹ thuật quốc gia về thức ăn chăn nuôi - hàm lượng tối đa cho phép các chỉ tiêu an toàn trong thức ăn chăn nuôi và nguyên liệu sản xuất thức ăn thủy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07/2021/TT-BNNPTNT Ban hành "Quy chuẩn kỹ thuật quốc gia về phân cấp và đóng tàu cá có chiều dài lớn nhất từ 12 mét đến dưới 24 mét"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08/2021/TT-BNNPTNT Ban hành Quy chuẩn kỹ thuật quốc gia đối với muối (Natri clorua) thực phẩm và muối (Natri clorua) tinh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429.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05/2021/TT-BTTTT Ban hành "Quy chuẩn kỹ thuật quốc gia về thiết bị trạm gốc thông tin di động 5G - Phần truy nhập vô tuyến"</w:t>
            </w:r>
          </w:p>
        </w:tc>
      </w:tr>
    </w:tbl>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2C3505" w:rsidRDefault="002C3505"/>
    <w:sectPr w:rsidR="002C3505" w:rsidSect="00CE1335">
      <w:footerReference w:type="even" r:id="rId7"/>
      <w:footerReference w:type="default" r:id="rId8"/>
      <w:footnotePr>
        <w:numRestart w:val="eachPage"/>
      </w:footnotePr>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390" w:rsidRDefault="00BE7390">
      <w:r>
        <w:separator/>
      </w:r>
    </w:p>
  </w:endnote>
  <w:endnote w:type="continuationSeparator" w:id="0">
    <w:p w:rsidR="00BE7390" w:rsidRDefault="00BE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35" w:rsidRDefault="00CE1335"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335" w:rsidRDefault="00CE1335" w:rsidP="00CE1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35" w:rsidRDefault="00CE1335"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7DE">
      <w:rPr>
        <w:rStyle w:val="PageNumber"/>
        <w:noProof/>
      </w:rPr>
      <w:t>1</w:t>
    </w:r>
    <w:r>
      <w:rPr>
        <w:rStyle w:val="PageNumber"/>
      </w:rPr>
      <w:fldChar w:fldCharType="end"/>
    </w:r>
  </w:p>
  <w:p w:rsidR="00CE1335" w:rsidRDefault="00CE1335" w:rsidP="00CE13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390" w:rsidRDefault="00BE7390">
      <w:r>
        <w:separator/>
      </w:r>
    </w:p>
  </w:footnote>
  <w:footnote w:type="continuationSeparator" w:id="0">
    <w:p w:rsidR="00BE7390" w:rsidRDefault="00BE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77C"/>
    <w:multiLevelType w:val="multilevel"/>
    <w:tmpl w:val="2556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35"/>
    <w:rsid w:val="00005D1B"/>
    <w:rsid w:val="00021A08"/>
    <w:rsid w:val="000610A4"/>
    <w:rsid w:val="000D3D29"/>
    <w:rsid w:val="00165022"/>
    <w:rsid w:val="00190EEB"/>
    <w:rsid w:val="00202A61"/>
    <w:rsid w:val="002047F0"/>
    <w:rsid w:val="00230333"/>
    <w:rsid w:val="002850E7"/>
    <w:rsid w:val="002C3505"/>
    <w:rsid w:val="0047680E"/>
    <w:rsid w:val="0051710C"/>
    <w:rsid w:val="005A648D"/>
    <w:rsid w:val="005C0667"/>
    <w:rsid w:val="005C3654"/>
    <w:rsid w:val="005C51B2"/>
    <w:rsid w:val="005D3F5F"/>
    <w:rsid w:val="005F7D2B"/>
    <w:rsid w:val="00622495"/>
    <w:rsid w:val="00631256"/>
    <w:rsid w:val="00651562"/>
    <w:rsid w:val="00716814"/>
    <w:rsid w:val="007647DE"/>
    <w:rsid w:val="007E5FE5"/>
    <w:rsid w:val="00874BDE"/>
    <w:rsid w:val="008A25C0"/>
    <w:rsid w:val="008A3FE1"/>
    <w:rsid w:val="008B3E34"/>
    <w:rsid w:val="008C0E0C"/>
    <w:rsid w:val="008E447A"/>
    <w:rsid w:val="00916292"/>
    <w:rsid w:val="009C4C18"/>
    <w:rsid w:val="00A43673"/>
    <w:rsid w:val="00A4773B"/>
    <w:rsid w:val="00A80A4A"/>
    <w:rsid w:val="00B31F7F"/>
    <w:rsid w:val="00B8323F"/>
    <w:rsid w:val="00BC30D3"/>
    <w:rsid w:val="00BE0A1E"/>
    <w:rsid w:val="00BE7390"/>
    <w:rsid w:val="00C728A8"/>
    <w:rsid w:val="00CC76C1"/>
    <w:rsid w:val="00CE0519"/>
    <w:rsid w:val="00CE1335"/>
    <w:rsid w:val="00D35CEE"/>
    <w:rsid w:val="00E064D1"/>
    <w:rsid w:val="00EE14EB"/>
    <w:rsid w:val="00F11843"/>
    <w:rsid w:val="00F64D6D"/>
    <w:rsid w:val="00F83AF4"/>
    <w:rsid w:val="00FB7AC7"/>
    <w:rsid w:val="00FC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49B7C1-0F75-45EE-8E37-E250633B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33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35"/>
  </w:style>
  <w:style w:type="paragraph" w:styleId="Footer">
    <w:name w:val="footer"/>
    <w:basedOn w:val="Normal"/>
    <w:link w:val="FooterChar"/>
    <w:rsid w:val="00CE1335"/>
    <w:pPr>
      <w:tabs>
        <w:tab w:val="center" w:pos="4320"/>
        <w:tab w:val="right" w:pos="8640"/>
      </w:tabs>
    </w:pPr>
    <w:rPr>
      <w:sz w:val="24"/>
      <w:szCs w:val="24"/>
    </w:rPr>
  </w:style>
  <w:style w:type="character" w:customStyle="1" w:styleId="FooterChar">
    <w:name w:val="Footer Char"/>
    <w:basedOn w:val="DefaultParagraphFont"/>
    <w:link w:val="Footer"/>
    <w:rsid w:val="00CE1335"/>
    <w:rPr>
      <w:sz w:val="24"/>
      <w:szCs w:val="24"/>
      <w:lang w:val="en-US" w:eastAsia="en-US" w:bidi="ar-SA"/>
    </w:rPr>
  </w:style>
  <w:style w:type="paragraph" w:customStyle="1" w:styleId="1CharCharCharChar">
    <w:name w:val="1 Char Char Char Char"/>
    <w:basedOn w:val="DocumentMap"/>
    <w:autoRedefine/>
    <w:rsid w:val="00CE1335"/>
    <w:pPr>
      <w:widowControl w:val="0"/>
      <w:jc w:val="both"/>
    </w:pPr>
    <w:rPr>
      <w:rFonts w:eastAsia="SimSun" w:cs="Times New Roman"/>
      <w:kern w:val="2"/>
      <w:sz w:val="24"/>
      <w:szCs w:val="24"/>
      <w:lang w:eastAsia="zh-CN"/>
    </w:rPr>
  </w:style>
  <w:style w:type="paragraph" w:styleId="DocumentMap">
    <w:name w:val="Document Map"/>
    <w:basedOn w:val="Normal"/>
    <w:semiHidden/>
    <w:rsid w:val="00CE133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Mẫu số: 02</vt:lpstr>
    </vt:vector>
  </TitlesOfParts>
  <Company>HOME</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dc:title>
  <dc:creator>User</dc:creator>
  <cp:lastModifiedBy>Hanel</cp:lastModifiedBy>
  <cp:revision>2</cp:revision>
  <dcterms:created xsi:type="dcterms:W3CDTF">2021-11-09T04:34:00Z</dcterms:created>
  <dcterms:modified xsi:type="dcterms:W3CDTF">2021-11-09T04:34:00Z</dcterms:modified>
</cp:coreProperties>
</file>